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1F09B">
      <w:pPr>
        <w:jc w:val="left"/>
        <w:rPr>
          <w:rFonts w:hint="eastAsia" w:asciiTheme="minorEastAsia" w:hAnsiTheme="minorEastAsia" w:eastAsiaTheme="minorEastAsia"/>
          <w:bCs/>
          <w:sz w:val="24"/>
        </w:rPr>
      </w:pPr>
      <w:bookmarkStart w:id="0" w:name="_Toc359483089"/>
      <w:r>
        <w:rPr>
          <w:rFonts w:hint="eastAsia" w:asciiTheme="minorEastAsia" w:hAnsiTheme="minorEastAsia" w:eastAsiaTheme="minorEastAsia"/>
          <w:b/>
          <w:sz w:val="24"/>
        </w:rPr>
        <w:t>证券代码：</w:t>
      </w:r>
      <w:r>
        <w:rPr>
          <w:rFonts w:asciiTheme="minorEastAsia" w:hAnsiTheme="minorEastAsia" w:eastAsiaTheme="minorEastAsia"/>
          <w:b/>
          <w:sz w:val="24"/>
        </w:rPr>
        <w:t xml:space="preserve">688400                                              </w:t>
      </w:r>
      <w:r>
        <w:rPr>
          <w:rFonts w:hint="eastAsia" w:asciiTheme="minorEastAsia" w:hAnsiTheme="minorEastAsia" w:eastAsiaTheme="minorEastAsia"/>
          <w:b/>
          <w:sz w:val="24"/>
        </w:rPr>
        <w:t>证券简称：凌云光</w:t>
      </w:r>
      <w:r>
        <w:rPr>
          <w:rFonts w:asciiTheme="minorEastAsia" w:hAnsiTheme="minorEastAsia" w:eastAsiaTheme="minorEastAsia"/>
          <w:b/>
          <w:sz w:val="24"/>
        </w:rPr>
        <w:t xml:space="preserve">       </w:t>
      </w:r>
    </w:p>
    <w:p w14:paraId="6A5812B1">
      <w:pPr>
        <w:jc w:val="center"/>
        <w:rPr>
          <w:rFonts w:hint="eastAsia" w:asciiTheme="minorEastAsia" w:hAnsiTheme="minorEastAsia" w:eastAsiaTheme="minorEastAsia"/>
          <w:bCs/>
          <w:sz w:val="24"/>
        </w:rPr>
      </w:pPr>
    </w:p>
    <w:p w14:paraId="4FD20CD5">
      <w:pPr>
        <w:spacing w:line="288" w:lineRule="auto"/>
        <w:jc w:val="center"/>
        <w:rPr>
          <w:rFonts w:hint="eastAsia" w:asciiTheme="minorEastAsia" w:hAnsiTheme="minorEastAsia" w:eastAsiaTheme="minorEastAsia"/>
          <w:b/>
          <w:color w:val="FF0000"/>
          <w:sz w:val="36"/>
          <w:szCs w:val="36"/>
        </w:rPr>
      </w:pPr>
      <w:r>
        <w:rPr>
          <w:rFonts w:hint="eastAsia" w:asciiTheme="minorEastAsia" w:hAnsiTheme="minorEastAsia" w:eastAsiaTheme="minorEastAsia"/>
          <w:b/>
          <w:color w:val="FF0000"/>
          <w:sz w:val="36"/>
          <w:szCs w:val="36"/>
        </w:rPr>
        <w:t>凌云光技术股份有限公司</w:t>
      </w:r>
    </w:p>
    <w:bookmarkEnd w:id="0"/>
    <w:p w14:paraId="48431CDF">
      <w:pPr>
        <w:spacing w:line="288" w:lineRule="auto"/>
        <w:jc w:val="center"/>
        <w:rPr>
          <w:rFonts w:hint="eastAsia" w:asciiTheme="minorEastAsia" w:hAnsiTheme="minorEastAsia" w:eastAsiaTheme="minorEastAsia"/>
          <w:b/>
          <w:color w:val="FF0000"/>
          <w:sz w:val="36"/>
          <w:szCs w:val="36"/>
        </w:rPr>
      </w:pPr>
      <w:r>
        <w:rPr>
          <w:rFonts w:hint="eastAsia" w:asciiTheme="minorEastAsia" w:hAnsiTheme="minorEastAsia" w:eastAsiaTheme="minorEastAsia"/>
          <w:b/>
          <w:color w:val="FF0000"/>
          <w:sz w:val="36"/>
          <w:szCs w:val="36"/>
        </w:rPr>
        <w:t>投资者关系活动记录表</w:t>
      </w:r>
    </w:p>
    <w:p w14:paraId="51B77A84">
      <w:pPr>
        <w:spacing w:line="288" w:lineRule="auto"/>
        <w:jc w:val="center"/>
        <w:rPr>
          <w:rFonts w:hint="eastAsia" w:asciiTheme="minorEastAsia" w:hAnsiTheme="minorEastAsia" w:eastAsiaTheme="minorEastAsia"/>
          <w:bCs/>
          <w:sz w:val="24"/>
        </w:rPr>
      </w:pPr>
      <w:r>
        <w:rPr>
          <w:rFonts w:asciiTheme="minorEastAsia" w:hAnsiTheme="minorEastAsia" w:eastAsiaTheme="minorEastAsia"/>
          <w:bCs/>
          <w:sz w:val="24"/>
        </w:rPr>
        <w:t xml:space="preserve">                                                               </w:t>
      </w:r>
      <w:r>
        <w:rPr>
          <w:rFonts w:hint="eastAsia" w:asciiTheme="minorEastAsia" w:hAnsiTheme="minorEastAsia" w:eastAsiaTheme="minorEastAsia"/>
          <w:bCs/>
          <w:sz w:val="24"/>
        </w:rPr>
        <w:t>编号：</w:t>
      </w:r>
      <w:r>
        <w:rPr>
          <w:rFonts w:asciiTheme="minorEastAsia" w:hAnsiTheme="minorEastAsia" w:eastAsiaTheme="minorEastAsia"/>
          <w:bCs/>
          <w:sz w:val="24"/>
        </w:rPr>
        <w:t>202</w:t>
      </w:r>
      <w:r>
        <w:rPr>
          <w:rFonts w:hint="eastAsia" w:asciiTheme="minorEastAsia" w:hAnsiTheme="minorEastAsia" w:eastAsiaTheme="minorEastAsia"/>
          <w:bCs/>
          <w:sz w:val="24"/>
        </w:rPr>
        <w:t>6</w:t>
      </w:r>
      <w:r>
        <w:rPr>
          <w:rFonts w:asciiTheme="minorEastAsia" w:hAnsiTheme="minorEastAsia" w:eastAsiaTheme="minorEastAsia"/>
          <w:bCs/>
          <w:sz w:val="24"/>
        </w:rPr>
        <w:t>-</w:t>
      </w:r>
      <w:r>
        <w:rPr>
          <w:rFonts w:hint="eastAsia" w:asciiTheme="minorEastAsia" w:hAnsiTheme="minorEastAsia" w:eastAsiaTheme="minorEastAsia"/>
          <w:bCs/>
          <w:sz w:val="24"/>
        </w:rPr>
        <w:t>10</w:t>
      </w:r>
      <w:bookmarkStart w:id="1" w:name="_GoBack"/>
      <w:bookmarkEnd w:id="1"/>
    </w:p>
    <w:tbl>
      <w:tblPr>
        <w:tblStyle w:val="14"/>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550"/>
        <w:gridCol w:w="8079"/>
      </w:tblGrid>
      <w:tr w14:paraId="7F6B6B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22" w:hRule="atLeast"/>
        </w:trPr>
        <w:tc>
          <w:tcPr>
            <w:tcW w:w="1550" w:type="dxa"/>
            <w:vAlign w:val="center"/>
          </w:tcPr>
          <w:p w14:paraId="06E3FC30">
            <w:pPr>
              <w:spacing w:line="54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投资者关系活动类别</w:t>
            </w:r>
          </w:p>
        </w:tc>
        <w:tc>
          <w:tcPr>
            <w:tcW w:w="8079" w:type="dxa"/>
            <w:vAlign w:val="center"/>
          </w:tcPr>
          <w:p w14:paraId="44C61DA0">
            <w:pPr>
              <w:rPr>
                <w:rFonts w:hint="eastAsia" w:asciiTheme="minorEastAsia" w:hAnsiTheme="minorEastAsia" w:eastAsiaTheme="minorEastAsia"/>
                <w:sz w:val="24"/>
              </w:rPr>
            </w:pPr>
            <w:r>
              <w:rPr>
                <w:rFonts w:asciiTheme="minorEastAsia" w:hAnsiTheme="minorEastAsia" w:eastAsiaTheme="minorEastAsia"/>
                <w:sz w:val="24"/>
              </w:rPr>
              <mc:AlternateContent>
                <mc:Choice Requires="wps">
                  <w:drawing>
                    <wp:inline distT="0" distB="0" distL="0" distR="0">
                      <wp:extent cx="4940300" cy="1257300"/>
                      <wp:effectExtent l="0" t="0" r="0" b="0"/>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940300" cy="1257300"/>
                              </a:xfrm>
                              <a:prstGeom prst="rect">
                                <a:avLst/>
                              </a:prstGeom>
                              <a:noFill/>
                              <a:ln w="9525">
                                <a:noFill/>
                                <a:miter lim="800000"/>
                              </a:ln>
                            </wps:spPr>
                            <wps:txbx>
                              <w:txbxContent>
                                <w:p w14:paraId="6B1F034D">
                                  <w:pPr>
                                    <w:spacing w:line="360" w:lineRule="auto"/>
                                    <w:jc w:val="left"/>
                                    <w:rPr>
                                      <w:rFonts w:hint="eastAsia" w:ascii="宋体" w:hAnsi="宋体" w:cs="宋体"/>
                                      <w:sz w:val="24"/>
                                    </w:rPr>
                                  </w:pPr>
                                  <w:r>
                                    <w:rPr>
                                      <w:rFonts w:asciiTheme="minorEastAsia" w:hAnsiTheme="minorEastAsia" w:eastAsiaTheme="minorEastAsia"/>
                                      <w:sz w:val="24"/>
                                    </w:rPr>
                                    <w:sym w:font="Wingdings 2" w:char="00A3"/>
                                  </w:r>
                                  <w:r>
                                    <w:rPr>
                                      <w:rFonts w:hint="eastAsia" w:asciiTheme="minorEastAsia" w:hAnsiTheme="minorEastAsia" w:eastAsiaTheme="minorEastAsia"/>
                                      <w:sz w:val="24"/>
                                    </w:rPr>
                                    <w:t xml:space="preserve"> </w:t>
                                  </w:r>
                                  <w:r>
                                    <w:rPr>
                                      <w:rFonts w:hint="eastAsia"/>
                                      <w:sz w:val="24"/>
                                    </w:rPr>
                                    <w:t xml:space="preserve">特定对象调研   </w:t>
                                  </w:r>
                                  <w:r>
                                    <w:rPr>
                                      <w:rFonts w:hint="eastAsia" w:ascii="宋体" w:hAnsi="宋体" w:cs="宋体"/>
                                      <w:sz w:val="24"/>
                                    </w:rPr>
                                    <w:sym w:font="Wingdings 2" w:char="00A3"/>
                                  </w:r>
                                  <w:r>
                                    <w:rPr>
                                      <w:rFonts w:hint="eastAsia" w:ascii="宋体" w:hAnsi="宋体" w:cs="宋体"/>
                                      <w:sz w:val="24"/>
                                    </w:rPr>
                                    <w:t xml:space="preserve"> </w:t>
                                  </w:r>
                                  <w:r>
                                    <w:rPr>
                                      <w:rFonts w:hint="eastAsia"/>
                                      <w:sz w:val="24"/>
                                    </w:rPr>
                                    <w:t xml:space="preserve">分析师会议   </w:t>
                                  </w:r>
                                  <w:r>
                                    <w:rPr>
                                      <w:rFonts w:asciiTheme="minorEastAsia" w:hAnsiTheme="minorEastAsia" w:eastAsiaTheme="minorEastAsia"/>
                                      <w:sz w:val="24"/>
                                    </w:rPr>
                                    <w:sym w:font="Wingdings 2" w:char="00A3"/>
                                  </w:r>
                                  <w:r>
                                    <w:rPr>
                                      <w:rFonts w:asciiTheme="minorEastAsia" w:hAnsiTheme="minorEastAsia" w:eastAsiaTheme="minorEastAsia"/>
                                      <w:sz w:val="24"/>
                                    </w:rPr>
                                    <w:t xml:space="preserve"> </w:t>
                                  </w:r>
                                  <w:r>
                                    <w:rPr>
                                      <w:rFonts w:hint="eastAsia" w:asciiTheme="minorEastAsia" w:hAnsiTheme="minorEastAsia" w:eastAsiaTheme="minorEastAsia"/>
                                      <w:sz w:val="24"/>
                                    </w:rPr>
                                    <w:t xml:space="preserve">媒体采访   </w:t>
                                  </w:r>
                                  <w:r>
                                    <w:rPr>
                                      <w:rFonts w:hint="eastAsia" w:ascii="宋体" w:hAnsi="宋体" w:cs="宋体"/>
                                      <w:sz w:val="24"/>
                                    </w:rPr>
                                    <w:sym w:font="Wingdings 2" w:char="00A3"/>
                                  </w:r>
                                  <w:r>
                                    <w:rPr>
                                      <w:rFonts w:hint="eastAsia" w:ascii="宋体" w:hAnsi="宋体" w:cs="宋体"/>
                                      <w:sz w:val="24"/>
                                    </w:rPr>
                                    <w:t xml:space="preserve"> 业绩说明会</w:t>
                                  </w:r>
                                </w:p>
                                <w:p w14:paraId="74157766">
                                  <w:pPr>
                                    <w:spacing w:line="360" w:lineRule="auto"/>
                                    <w:rPr>
                                      <w:rFonts w:hint="eastAsia" w:asciiTheme="minorEastAsia" w:hAnsiTheme="minorEastAsia" w:eastAsiaTheme="minorEastAsia"/>
                                      <w:sz w:val="24"/>
                                    </w:rPr>
                                  </w:pPr>
                                  <w:r>
                                    <w:rPr>
                                      <w:rFonts w:asciiTheme="minorEastAsia" w:hAnsiTheme="minorEastAsia" w:eastAsiaTheme="minorEastAsia"/>
                                      <w:sz w:val="24"/>
                                    </w:rPr>
                                    <w:sym w:font="Wingdings 2" w:char="00A3"/>
                                  </w:r>
                                  <w:r>
                                    <w:rPr>
                                      <w:rFonts w:hint="eastAsia" w:asciiTheme="minorEastAsia" w:hAnsiTheme="minorEastAsia" w:eastAsiaTheme="minorEastAsia"/>
                                      <w:sz w:val="24"/>
                                    </w:rPr>
                                    <w:t xml:space="preserve"> 机构策略会     </w:t>
                                  </w:r>
                                  <w:r>
                                    <w:rPr>
                                      <w:rFonts w:hint="eastAsia" w:ascii="宋体" w:hAnsi="宋体" w:cs="宋体"/>
                                      <w:sz w:val="24"/>
                                    </w:rPr>
                                    <w:sym w:font="Wingdings 2" w:char="00A3"/>
                                  </w:r>
                                  <w:r>
                                    <w:rPr>
                                      <w:rFonts w:hint="eastAsia" w:ascii="宋体" w:hAnsi="宋体" w:cs="宋体"/>
                                      <w:sz w:val="24"/>
                                    </w:rPr>
                                    <w:t xml:space="preserve"> 路演活动     </w:t>
                                  </w:r>
                                  <w:r>
                                    <w:rPr>
                                      <w:rFonts w:asciiTheme="minorEastAsia" w:hAnsiTheme="minorEastAsia" w:eastAsiaTheme="minorEastAsia"/>
                                      <w:sz w:val="24"/>
                                    </w:rPr>
                                    <w:sym w:font="Wingdings 2" w:char="0052"/>
                                  </w:r>
                                  <w:r>
                                    <w:rPr>
                                      <w:rFonts w:hint="eastAsia" w:asciiTheme="minorEastAsia" w:hAnsiTheme="minorEastAsia" w:eastAsiaTheme="minorEastAsia"/>
                                      <w:sz w:val="24"/>
                                    </w:rPr>
                                    <w:t xml:space="preserve"> 现场参观   </w:t>
                                  </w:r>
                                  <w:r>
                                    <w:rPr>
                                      <w:rFonts w:hint="eastAsia" w:ascii="宋体" w:hAnsi="宋体" w:cs="宋体"/>
                                      <w:sz w:val="24"/>
                                    </w:rPr>
                                    <w:sym w:font="Wingdings 2" w:char="00A3"/>
                                  </w:r>
                                  <w:r>
                                    <w:rPr>
                                      <w:rFonts w:hint="eastAsia" w:ascii="宋体" w:hAnsi="宋体" w:cs="宋体"/>
                                      <w:sz w:val="24"/>
                                    </w:rPr>
                                    <w:t xml:space="preserve"> </w:t>
                                  </w:r>
                                  <w:r>
                                    <w:rPr>
                                      <w:rFonts w:hint="eastAsia" w:asciiTheme="minorEastAsia" w:hAnsiTheme="minorEastAsia" w:eastAsiaTheme="minorEastAsia"/>
                                      <w:sz w:val="24"/>
                                    </w:rPr>
                                    <w:t>电话会议</w:t>
                                  </w:r>
                                </w:p>
                                <w:p w14:paraId="7DB903FB">
                                  <w:pPr>
                                    <w:spacing w:line="360" w:lineRule="auto"/>
                                    <w:jc w:val="left"/>
                                    <w:rPr>
                                      <w:rFonts w:hint="eastAsia" w:ascii="宋体" w:hAnsi="宋体" w:cs="宋体"/>
                                      <w:sz w:val="24"/>
                                    </w:rPr>
                                  </w:pPr>
                                  <w:r>
                                    <w:rPr>
                                      <w:rFonts w:asciiTheme="minorEastAsia" w:hAnsiTheme="minorEastAsia" w:eastAsiaTheme="minorEastAsia"/>
                                      <w:sz w:val="24"/>
                                    </w:rPr>
                                    <w:sym w:font="Wingdings 2" w:char="0052"/>
                                  </w:r>
                                  <w:r>
                                    <w:rPr>
                                      <w:rFonts w:hint="eastAsia" w:asciiTheme="minorEastAsia" w:hAnsiTheme="minorEastAsia" w:eastAsiaTheme="minorEastAsia"/>
                                      <w:sz w:val="24"/>
                                    </w:rPr>
                                    <w:t xml:space="preserve"> </w:t>
                                  </w:r>
                                  <w:r>
                                    <w:rPr>
                                      <w:rFonts w:hint="eastAsia" w:ascii="宋体" w:hAnsi="宋体" w:cs="宋体"/>
                                      <w:sz w:val="24"/>
                                    </w:rPr>
                                    <w:t>其他：公司在北京证监局、北京上市公司协会的指导下，联合中信建投证券共同举办《股东来了》—投资者走进凌云光活动</w:t>
                                  </w:r>
                                </w:p>
                                <w:p w14:paraId="7ACF0B93">
                                  <w:pPr>
                                    <w:rPr>
                                      <w:rFonts w:hint="eastAsia" w:ascii="宋体" w:hAnsi="宋体" w:cs="宋体"/>
                                      <w:sz w:val="24"/>
                                    </w:rPr>
                                  </w:pPr>
                                </w:p>
                                <w:p w14:paraId="14207160">
                                  <w:pPr>
                                    <w:rPr>
                                      <w:sz w:val="24"/>
                                    </w:rPr>
                                  </w:pPr>
                                </w:p>
                              </w:txbxContent>
                            </wps:txbx>
                            <wps:bodyPr rot="0" vert="horz" wrap="square" lIns="91440" tIns="45720" rIns="91440" bIns="45720" anchor="t" anchorCtr="0">
                              <a:noAutofit/>
                            </wps:bodyPr>
                          </wps:wsp>
                        </a:graphicData>
                      </a:graphic>
                    </wp:inline>
                  </w:drawing>
                </mc:Choice>
                <mc:Fallback>
                  <w:pict>
                    <v:shape id="文本框 2" o:spid="_x0000_s1026" o:spt="202" type="#_x0000_t202" style="height:99pt;width:389pt;" filled="f" stroked="f" coordsize="21600,21600" o:gfxdata="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bLONjSAAAABQEA&#10;AA8AAAAAAAAAAQAgAAAAIgAAAGRycy9kb3ducmV2LnhtbFBLAQIUABQAAAAIAIdO4kDy2iv8IAIA&#10;ACoEAAAOAAAAAAAAAAEAIAAAACEBAABkcnMvZTJvRG9jLnhtbFBLBQYAAAAABgAGAFkBAACzBQAA&#10;AAA=&#10;">
                      <v:fill on="f" focussize="0,0"/>
                      <v:stroke on="f" miterlimit="8" joinstyle="miter"/>
                      <v:imagedata o:title=""/>
                      <o:lock v:ext="edit" aspectratio="f"/>
                      <v:textbox>
                        <w:txbxContent>
                          <w:p w14:paraId="6B1F034D">
                            <w:pPr>
                              <w:spacing w:line="360" w:lineRule="auto"/>
                              <w:jc w:val="left"/>
                              <w:rPr>
                                <w:rFonts w:hint="eastAsia" w:ascii="宋体" w:hAnsi="宋体" w:cs="宋体"/>
                                <w:sz w:val="24"/>
                              </w:rPr>
                            </w:pPr>
                            <w:r>
                              <w:rPr>
                                <w:rFonts w:asciiTheme="minorEastAsia" w:hAnsiTheme="minorEastAsia" w:eastAsiaTheme="minorEastAsia"/>
                                <w:sz w:val="24"/>
                              </w:rPr>
                              <w:sym w:font="Wingdings 2" w:char="00A3"/>
                            </w:r>
                            <w:r>
                              <w:rPr>
                                <w:rFonts w:hint="eastAsia" w:asciiTheme="minorEastAsia" w:hAnsiTheme="minorEastAsia" w:eastAsiaTheme="minorEastAsia"/>
                                <w:sz w:val="24"/>
                              </w:rPr>
                              <w:t xml:space="preserve"> </w:t>
                            </w:r>
                            <w:r>
                              <w:rPr>
                                <w:rFonts w:hint="eastAsia"/>
                                <w:sz w:val="24"/>
                              </w:rPr>
                              <w:t xml:space="preserve">特定对象调研   </w:t>
                            </w:r>
                            <w:r>
                              <w:rPr>
                                <w:rFonts w:hint="eastAsia" w:ascii="宋体" w:hAnsi="宋体" w:cs="宋体"/>
                                <w:sz w:val="24"/>
                              </w:rPr>
                              <w:sym w:font="Wingdings 2" w:char="00A3"/>
                            </w:r>
                            <w:r>
                              <w:rPr>
                                <w:rFonts w:hint="eastAsia" w:ascii="宋体" w:hAnsi="宋体" w:cs="宋体"/>
                                <w:sz w:val="24"/>
                              </w:rPr>
                              <w:t xml:space="preserve"> </w:t>
                            </w:r>
                            <w:r>
                              <w:rPr>
                                <w:rFonts w:hint="eastAsia"/>
                                <w:sz w:val="24"/>
                              </w:rPr>
                              <w:t xml:space="preserve">分析师会议   </w:t>
                            </w:r>
                            <w:r>
                              <w:rPr>
                                <w:rFonts w:asciiTheme="minorEastAsia" w:hAnsiTheme="minorEastAsia" w:eastAsiaTheme="minorEastAsia"/>
                                <w:sz w:val="24"/>
                              </w:rPr>
                              <w:sym w:font="Wingdings 2" w:char="00A3"/>
                            </w:r>
                            <w:r>
                              <w:rPr>
                                <w:rFonts w:asciiTheme="minorEastAsia" w:hAnsiTheme="minorEastAsia" w:eastAsiaTheme="minorEastAsia"/>
                                <w:sz w:val="24"/>
                              </w:rPr>
                              <w:t xml:space="preserve"> </w:t>
                            </w:r>
                            <w:r>
                              <w:rPr>
                                <w:rFonts w:hint="eastAsia" w:asciiTheme="minorEastAsia" w:hAnsiTheme="minorEastAsia" w:eastAsiaTheme="minorEastAsia"/>
                                <w:sz w:val="24"/>
                              </w:rPr>
                              <w:t xml:space="preserve">媒体采访   </w:t>
                            </w:r>
                            <w:r>
                              <w:rPr>
                                <w:rFonts w:hint="eastAsia" w:ascii="宋体" w:hAnsi="宋体" w:cs="宋体"/>
                                <w:sz w:val="24"/>
                              </w:rPr>
                              <w:sym w:font="Wingdings 2" w:char="00A3"/>
                            </w:r>
                            <w:r>
                              <w:rPr>
                                <w:rFonts w:hint="eastAsia" w:ascii="宋体" w:hAnsi="宋体" w:cs="宋体"/>
                                <w:sz w:val="24"/>
                              </w:rPr>
                              <w:t xml:space="preserve"> 业绩说明会</w:t>
                            </w:r>
                          </w:p>
                          <w:p w14:paraId="74157766">
                            <w:pPr>
                              <w:spacing w:line="360" w:lineRule="auto"/>
                              <w:rPr>
                                <w:rFonts w:hint="eastAsia" w:asciiTheme="minorEastAsia" w:hAnsiTheme="minorEastAsia" w:eastAsiaTheme="minorEastAsia"/>
                                <w:sz w:val="24"/>
                              </w:rPr>
                            </w:pPr>
                            <w:r>
                              <w:rPr>
                                <w:rFonts w:asciiTheme="minorEastAsia" w:hAnsiTheme="minorEastAsia" w:eastAsiaTheme="minorEastAsia"/>
                                <w:sz w:val="24"/>
                              </w:rPr>
                              <w:sym w:font="Wingdings 2" w:char="00A3"/>
                            </w:r>
                            <w:r>
                              <w:rPr>
                                <w:rFonts w:hint="eastAsia" w:asciiTheme="minorEastAsia" w:hAnsiTheme="minorEastAsia" w:eastAsiaTheme="minorEastAsia"/>
                                <w:sz w:val="24"/>
                              </w:rPr>
                              <w:t xml:space="preserve"> 机构策略会     </w:t>
                            </w:r>
                            <w:r>
                              <w:rPr>
                                <w:rFonts w:hint="eastAsia" w:ascii="宋体" w:hAnsi="宋体" w:cs="宋体"/>
                                <w:sz w:val="24"/>
                              </w:rPr>
                              <w:sym w:font="Wingdings 2" w:char="00A3"/>
                            </w:r>
                            <w:r>
                              <w:rPr>
                                <w:rFonts w:hint="eastAsia" w:ascii="宋体" w:hAnsi="宋体" w:cs="宋体"/>
                                <w:sz w:val="24"/>
                              </w:rPr>
                              <w:t xml:space="preserve"> 路演活动     </w:t>
                            </w:r>
                            <w:r>
                              <w:rPr>
                                <w:rFonts w:asciiTheme="minorEastAsia" w:hAnsiTheme="minorEastAsia" w:eastAsiaTheme="minorEastAsia"/>
                                <w:sz w:val="24"/>
                              </w:rPr>
                              <w:sym w:font="Wingdings 2" w:char="0052"/>
                            </w:r>
                            <w:r>
                              <w:rPr>
                                <w:rFonts w:hint="eastAsia" w:asciiTheme="minorEastAsia" w:hAnsiTheme="minorEastAsia" w:eastAsiaTheme="minorEastAsia"/>
                                <w:sz w:val="24"/>
                              </w:rPr>
                              <w:t xml:space="preserve"> 现场参观   </w:t>
                            </w:r>
                            <w:r>
                              <w:rPr>
                                <w:rFonts w:hint="eastAsia" w:ascii="宋体" w:hAnsi="宋体" w:cs="宋体"/>
                                <w:sz w:val="24"/>
                              </w:rPr>
                              <w:sym w:font="Wingdings 2" w:char="00A3"/>
                            </w:r>
                            <w:r>
                              <w:rPr>
                                <w:rFonts w:hint="eastAsia" w:ascii="宋体" w:hAnsi="宋体" w:cs="宋体"/>
                                <w:sz w:val="24"/>
                              </w:rPr>
                              <w:t xml:space="preserve"> </w:t>
                            </w:r>
                            <w:r>
                              <w:rPr>
                                <w:rFonts w:hint="eastAsia" w:asciiTheme="minorEastAsia" w:hAnsiTheme="minorEastAsia" w:eastAsiaTheme="minorEastAsia"/>
                                <w:sz w:val="24"/>
                              </w:rPr>
                              <w:t>电话会议</w:t>
                            </w:r>
                          </w:p>
                          <w:p w14:paraId="7DB903FB">
                            <w:pPr>
                              <w:spacing w:line="360" w:lineRule="auto"/>
                              <w:jc w:val="left"/>
                              <w:rPr>
                                <w:rFonts w:hint="eastAsia" w:ascii="宋体" w:hAnsi="宋体" w:cs="宋体"/>
                                <w:sz w:val="24"/>
                              </w:rPr>
                            </w:pPr>
                            <w:r>
                              <w:rPr>
                                <w:rFonts w:asciiTheme="minorEastAsia" w:hAnsiTheme="minorEastAsia" w:eastAsiaTheme="minorEastAsia"/>
                                <w:sz w:val="24"/>
                              </w:rPr>
                              <w:sym w:font="Wingdings 2" w:char="0052"/>
                            </w:r>
                            <w:r>
                              <w:rPr>
                                <w:rFonts w:hint="eastAsia" w:asciiTheme="minorEastAsia" w:hAnsiTheme="minorEastAsia" w:eastAsiaTheme="minorEastAsia"/>
                                <w:sz w:val="24"/>
                              </w:rPr>
                              <w:t xml:space="preserve"> </w:t>
                            </w:r>
                            <w:r>
                              <w:rPr>
                                <w:rFonts w:hint="eastAsia" w:ascii="宋体" w:hAnsi="宋体" w:cs="宋体"/>
                                <w:sz w:val="24"/>
                              </w:rPr>
                              <w:t>其他：公司在北京证监局、北京上市公司协会的指导下，联合中信建投证券共同举办《股东来了》—投资者走进凌云光活动</w:t>
                            </w:r>
                          </w:p>
                          <w:p w14:paraId="7ACF0B93">
                            <w:pPr>
                              <w:rPr>
                                <w:rFonts w:hint="eastAsia" w:ascii="宋体" w:hAnsi="宋体" w:cs="宋体"/>
                                <w:sz w:val="24"/>
                              </w:rPr>
                            </w:pPr>
                          </w:p>
                          <w:p w14:paraId="14207160">
                            <w:pPr>
                              <w:rPr>
                                <w:sz w:val="24"/>
                              </w:rPr>
                            </w:pPr>
                          </w:p>
                        </w:txbxContent>
                      </v:textbox>
                      <w10:wrap type="none"/>
                      <w10:anchorlock/>
                    </v:shape>
                  </w:pict>
                </mc:Fallback>
              </mc:AlternateContent>
            </w:r>
          </w:p>
        </w:tc>
      </w:tr>
      <w:tr w14:paraId="5B438F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33" w:hRule="atLeast"/>
        </w:trPr>
        <w:tc>
          <w:tcPr>
            <w:tcW w:w="1550" w:type="dxa"/>
            <w:vAlign w:val="center"/>
          </w:tcPr>
          <w:p w14:paraId="57022892">
            <w:pPr>
              <w:spacing w:line="540" w:lineRule="exact"/>
              <w:jc w:val="center"/>
              <w:rPr>
                <w:rFonts w:hint="eastAsia" w:asciiTheme="minorEastAsia" w:hAnsiTheme="minorEastAsia" w:eastAsiaTheme="minorEastAsia"/>
                <w:sz w:val="24"/>
              </w:rPr>
            </w:pPr>
            <w:r>
              <w:rPr>
                <w:rFonts w:asciiTheme="minorEastAsia" w:hAnsiTheme="minorEastAsia" w:eastAsiaTheme="minorEastAsia"/>
                <w:sz w:val="24"/>
              </w:rPr>
              <w:t>参与单位</w:t>
            </w:r>
          </w:p>
          <w:p w14:paraId="08DB50F8">
            <w:pPr>
              <w:spacing w:line="540" w:lineRule="exact"/>
              <w:jc w:val="center"/>
              <w:rPr>
                <w:rFonts w:hint="eastAsia" w:asciiTheme="minorEastAsia" w:hAnsiTheme="minorEastAsia" w:eastAsiaTheme="minorEastAsia"/>
                <w:sz w:val="24"/>
              </w:rPr>
            </w:pPr>
            <w:r>
              <w:rPr>
                <w:rFonts w:asciiTheme="minorEastAsia" w:hAnsiTheme="minorEastAsia" w:eastAsiaTheme="minorEastAsia"/>
                <w:sz w:val="24"/>
              </w:rPr>
              <w:t>名称</w:t>
            </w:r>
          </w:p>
        </w:tc>
        <w:tc>
          <w:tcPr>
            <w:tcW w:w="8079" w:type="dxa"/>
            <w:vAlign w:val="center"/>
          </w:tcPr>
          <w:p w14:paraId="60BDEB18">
            <w:pPr>
              <w:rPr>
                <w:sz w:val="24"/>
              </w:rPr>
            </w:pPr>
          </w:p>
          <w:tbl>
            <w:tblPr>
              <w:tblStyle w:val="1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32"/>
              <w:gridCol w:w="3931"/>
            </w:tblGrid>
            <w:tr w14:paraId="55FC9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32" w:type="dxa"/>
                  <w:tcBorders>
                    <w:top w:val="nil"/>
                    <w:left w:val="nil"/>
                    <w:bottom w:val="nil"/>
                    <w:right w:val="nil"/>
                  </w:tcBorders>
                </w:tcPr>
                <w:p w14:paraId="70F0EFFA">
                  <w:pPr>
                    <w:spacing w:before="40" w:after="40" w:line="276" w:lineRule="auto"/>
                    <w:rPr>
                      <w:sz w:val="24"/>
                    </w:rPr>
                  </w:pPr>
                  <w:r>
                    <w:rPr>
                      <w:rFonts w:hint="eastAsia"/>
                      <w:sz w:val="24"/>
                    </w:rPr>
                    <w:t>北京证监局</w:t>
                  </w:r>
                </w:p>
              </w:tc>
              <w:tc>
                <w:tcPr>
                  <w:tcW w:w="3931" w:type="dxa"/>
                  <w:tcBorders>
                    <w:top w:val="nil"/>
                    <w:left w:val="nil"/>
                    <w:bottom w:val="nil"/>
                    <w:right w:val="nil"/>
                  </w:tcBorders>
                </w:tcPr>
                <w:p w14:paraId="6633381D">
                  <w:pPr>
                    <w:spacing w:before="40" w:after="40" w:line="276" w:lineRule="auto"/>
                    <w:rPr>
                      <w:sz w:val="24"/>
                    </w:rPr>
                  </w:pPr>
                  <w:r>
                    <w:rPr>
                      <w:rFonts w:hint="eastAsia"/>
                      <w:sz w:val="24"/>
                    </w:rPr>
                    <w:t>国泰海通证券</w:t>
                  </w:r>
                </w:p>
              </w:tc>
            </w:tr>
            <w:tr w14:paraId="56931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32" w:type="dxa"/>
                  <w:tcBorders>
                    <w:top w:val="nil"/>
                    <w:left w:val="nil"/>
                    <w:bottom w:val="nil"/>
                    <w:right w:val="nil"/>
                  </w:tcBorders>
                </w:tcPr>
                <w:p w14:paraId="567D3DB7">
                  <w:pPr>
                    <w:spacing w:before="40" w:after="40" w:line="276" w:lineRule="auto"/>
                    <w:rPr>
                      <w:sz w:val="24"/>
                    </w:rPr>
                  </w:pPr>
                  <w:r>
                    <w:rPr>
                      <w:rFonts w:hint="eastAsia"/>
                      <w:sz w:val="24"/>
                    </w:rPr>
                    <w:t>北京上市公司协会</w:t>
                  </w:r>
                </w:p>
              </w:tc>
              <w:tc>
                <w:tcPr>
                  <w:tcW w:w="3931" w:type="dxa"/>
                  <w:tcBorders>
                    <w:top w:val="nil"/>
                    <w:left w:val="nil"/>
                    <w:bottom w:val="nil"/>
                    <w:right w:val="nil"/>
                  </w:tcBorders>
                </w:tcPr>
                <w:p w14:paraId="1DB57D42">
                  <w:pPr>
                    <w:spacing w:before="40" w:after="40" w:line="276" w:lineRule="auto"/>
                    <w:rPr>
                      <w:sz w:val="24"/>
                    </w:rPr>
                  </w:pPr>
                  <w:r>
                    <w:rPr>
                      <w:rFonts w:hint="eastAsia"/>
                      <w:sz w:val="24"/>
                    </w:rPr>
                    <w:t>金泰资本</w:t>
                  </w:r>
                </w:p>
              </w:tc>
            </w:tr>
            <w:tr w14:paraId="755AA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32" w:type="dxa"/>
                  <w:tcBorders>
                    <w:top w:val="nil"/>
                    <w:left w:val="nil"/>
                    <w:bottom w:val="nil"/>
                    <w:right w:val="nil"/>
                  </w:tcBorders>
                </w:tcPr>
                <w:p w14:paraId="61FE37DC">
                  <w:pPr>
                    <w:spacing w:before="40" w:after="40" w:line="276" w:lineRule="auto"/>
                    <w:rPr>
                      <w:sz w:val="24"/>
                    </w:rPr>
                  </w:pPr>
                  <w:r>
                    <w:rPr>
                      <w:rFonts w:hint="eastAsia"/>
                      <w:sz w:val="24"/>
                    </w:rPr>
                    <w:t>中信建投证券</w:t>
                  </w:r>
                </w:p>
                <w:p w14:paraId="4A213E56">
                  <w:pPr>
                    <w:spacing w:before="40" w:after="40" w:line="276" w:lineRule="auto"/>
                    <w:rPr>
                      <w:sz w:val="24"/>
                    </w:rPr>
                  </w:pPr>
                  <w:r>
                    <w:rPr>
                      <w:rFonts w:hint="eastAsia"/>
                      <w:sz w:val="24"/>
                    </w:rPr>
                    <w:t>证券日报</w:t>
                  </w:r>
                </w:p>
                <w:p w14:paraId="20305442">
                  <w:pPr>
                    <w:spacing w:before="40" w:after="40" w:line="276" w:lineRule="auto"/>
                    <w:rPr>
                      <w:sz w:val="24"/>
                    </w:rPr>
                  </w:pPr>
                  <w:r>
                    <w:rPr>
                      <w:rFonts w:hint="eastAsia"/>
                      <w:sz w:val="24"/>
                    </w:rPr>
                    <w:t>中国基金报</w:t>
                  </w:r>
                </w:p>
                <w:p w14:paraId="5DF44FBD">
                  <w:pPr>
                    <w:spacing w:before="40" w:after="40" w:line="276" w:lineRule="auto"/>
                    <w:rPr>
                      <w:sz w:val="24"/>
                    </w:rPr>
                  </w:pPr>
                  <w:r>
                    <w:rPr>
                      <w:rFonts w:hint="eastAsia"/>
                      <w:sz w:val="24"/>
                    </w:rPr>
                    <w:t>金汇资本</w:t>
                  </w:r>
                </w:p>
                <w:p w14:paraId="684F083E">
                  <w:pPr>
                    <w:spacing w:before="40" w:after="40" w:line="276" w:lineRule="auto"/>
                    <w:rPr>
                      <w:sz w:val="24"/>
                    </w:rPr>
                  </w:pPr>
                  <w:r>
                    <w:rPr>
                      <w:rFonts w:hint="eastAsia"/>
                      <w:sz w:val="24"/>
                    </w:rPr>
                    <w:t>北京风炎私募基金管理有限公司</w:t>
                  </w:r>
                </w:p>
                <w:p w14:paraId="4EC6E26F">
                  <w:pPr>
                    <w:spacing w:before="40" w:after="40" w:line="276" w:lineRule="auto"/>
                    <w:rPr>
                      <w:sz w:val="24"/>
                    </w:rPr>
                  </w:pPr>
                  <w:r>
                    <w:rPr>
                      <w:rFonts w:hint="eastAsia"/>
                      <w:sz w:val="24"/>
                    </w:rPr>
                    <w:t>北京盈建科软件股份有限公司</w:t>
                  </w:r>
                </w:p>
                <w:p w14:paraId="42A2A74F">
                  <w:pPr>
                    <w:spacing w:before="40" w:after="40" w:line="276" w:lineRule="auto"/>
                    <w:rPr>
                      <w:sz w:val="24"/>
                    </w:rPr>
                  </w:pPr>
                  <w:r>
                    <w:rPr>
                      <w:rFonts w:hint="eastAsia"/>
                      <w:sz w:val="24"/>
                    </w:rPr>
                    <w:t>利亚德</w:t>
                  </w:r>
                </w:p>
                <w:p w14:paraId="4896B36E">
                  <w:pPr>
                    <w:spacing w:before="40" w:after="40" w:line="276" w:lineRule="auto"/>
                    <w:rPr>
                      <w:sz w:val="24"/>
                    </w:rPr>
                  </w:pPr>
                  <w:r>
                    <w:rPr>
                      <w:rFonts w:hint="eastAsia"/>
                      <w:sz w:val="24"/>
                    </w:rPr>
                    <w:t>北京博润银泰投资管理有限公司</w:t>
                  </w:r>
                </w:p>
                <w:p w14:paraId="74060AA3">
                  <w:pPr>
                    <w:spacing w:before="40" w:after="40" w:line="276" w:lineRule="auto"/>
                    <w:rPr>
                      <w:sz w:val="24"/>
                    </w:rPr>
                  </w:pPr>
                  <w:r>
                    <w:rPr>
                      <w:rFonts w:hint="eastAsia"/>
                      <w:sz w:val="24"/>
                    </w:rPr>
                    <w:t>北京弘峰投资管理有限公司</w:t>
                  </w:r>
                </w:p>
                <w:p w14:paraId="419F2D2C">
                  <w:pPr>
                    <w:spacing w:before="40" w:after="40" w:line="276" w:lineRule="auto"/>
                    <w:rPr>
                      <w:sz w:val="24"/>
                    </w:rPr>
                  </w:pPr>
                  <w:r>
                    <w:rPr>
                      <w:rFonts w:hint="eastAsia"/>
                      <w:sz w:val="24"/>
                    </w:rPr>
                    <w:t>万和证券机构部</w:t>
                  </w:r>
                </w:p>
                <w:p w14:paraId="63CF6DEB">
                  <w:pPr>
                    <w:spacing w:before="40" w:after="40" w:line="276" w:lineRule="auto"/>
                    <w:rPr>
                      <w:sz w:val="24"/>
                    </w:rPr>
                  </w:pPr>
                  <w:r>
                    <w:rPr>
                      <w:rFonts w:hint="eastAsia"/>
                      <w:sz w:val="24"/>
                    </w:rPr>
                    <w:t>银河证券</w:t>
                  </w:r>
                </w:p>
              </w:tc>
              <w:tc>
                <w:tcPr>
                  <w:tcW w:w="3931" w:type="dxa"/>
                  <w:tcBorders>
                    <w:top w:val="nil"/>
                    <w:left w:val="nil"/>
                    <w:bottom w:val="nil"/>
                    <w:right w:val="nil"/>
                  </w:tcBorders>
                </w:tcPr>
                <w:p w14:paraId="614598F6">
                  <w:pPr>
                    <w:spacing w:before="40" w:after="40" w:line="276" w:lineRule="auto"/>
                    <w:rPr>
                      <w:sz w:val="24"/>
                    </w:rPr>
                  </w:pPr>
                  <w:r>
                    <w:rPr>
                      <w:rFonts w:hint="eastAsia"/>
                      <w:sz w:val="24"/>
                    </w:rPr>
                    <w:t>北京中军投资管理公司</w:t>
                  </w:r>
                </w:p>
                <w:p w14:paraId="54A383B9">
                  <w:pPr>
                    <w:spacing w:before="40" w:after="40" w:line="276" w:lineRule="auto"/>
                    <w:rPr>
                      <w:sz w:val="24"/>
                    </w:rPr>
                  </w:pPr>
                  <w:r>
                    <w:rPr>
                      <w:rFonts w:hint="eastAsia"/>
                      <w:sz w:val="24"/>
                    </w:rPr>
                    <w:t>四川大决策</w:t>
                  </w:r>
                </w:p>
                <w:p w14:paraId="635687D2">
                  <w:pPr>
                    <w:spacing w:before="40" w:after="40" w:line="276" w:lineRule="auto"/>
                    <w:rPr>
                      <w:sz w:val="24"/>
                    </w:rPr>
                  </w:pPr>
                  <w:r>
                    <w:rPr>
                      <w:rFonts w:hint="eastAsia"/>
                      <w:sz w:val="24"/>
                    </w:rPr>
                    <w:t>约调研平台</w:t>
                  </w:r>
                </w:p>
                <w:p w14:paraId="6105AB5A">
                  <w:pPr>
                    <w:spacing w:before="40" w:after="40" w:line="276" w:lineRule="auto"/>
                    <w:rPr>
                      <w:sz w:val="24"/>
                    </w:rPr>
                  </w:pPr>
                  <w:r>
                    <w:rPr>
                      <w:rFonts w:hint="eastAsia"/>
                      <w:sz w:val="24"/>
                    </w:rPr>
                    <w:t>北京大牛踏燕投资管理有限公司</w:t>
                  </w:r>
                </w:p>
                <w:p w14:paraId="0FBFA0E7">
                  <w:pPr>
                    <w:spacing w:before="40" w:after="40" w:line="276" w:lineRule="auto"/>
                    <w:rPr>
                      <w:sz w:val="24"/>
                    </w:rPr>
                  </w:pPr>
                  <w:r>
                    <w:rPr>
                      <w:rFonts w:hint="eastAsia"/>
                      <w:sz w:val="24"/>
                    </w:rPr>
                    <w:t>华商基金</w:t>
                  </w:r>
                </w:p>
                <w:p w14:paraId="18043B2C">
                  <w:pPr>
                    <w:spacing w:before="40" w:after="40" w:line="276" w:lineRule="auto"/>
                    <w:rPr>
                      <w:sz w:val="24"/>
                    </w:rPr>
                  </w:pPr>
                  <w:r>
                    <w:rPr>
                      <w:rFonts w:hint="eastAsia"/>
                      <w:sz w:val="24"/>
                    </w:rPr>
                    <w:t>银河证券</w:t>
                  </w:r>
                </w:p>
                <w:p w14:paraId="592CA481">
                  <w:pPr>
                    <w:spacing w:before="40" w:after="40" w:line="276" w:lineRule="auto"/>
                    <w:rPr>
                      <w:sz w:val="24"/>
                    </w:rPr>
                  </w:pPr>
                  <w:r>
                    <w:rPr>
                      <w:rFonts w:hint="eastAsia"/>
                      <w:sz w:val="24"/>
                    </w:rPr>
                    <w:t>中信建投自营</w:t>
                  </w:r>
                </w:p>
                <w:p w14:paraId="3C6712F6">
                  <w:pPr>
                    <w:spacing w:before="40" w:after="40" w:line="276" w:lineRule="auto"/>
                    <w:rPr>
                      <w:sz w:val="24"/>
                    </w:rPr>
                  </w:pPr>
                  <w:r>
                    <w:rPr>
                      <w:rFonts w:hint="eastAsia"/>
                      <w:sz w:val="24"/>
                    </w:rPr>
                    <w:t>东方财富证券</w:t>
                  </w:r>
                </w:p>
                <w:p w14:paraId="69039E70">
                  <w:pPr>
                    <w:spacing w:before="40" w:after="40" w:line="276" w:lineRule="auto"/>
                    <w:rPr>
                      <w:sz w:val="24"/>
                    </w:rPr>
                  </w:pPr>
                  <w:r>
                    <w:rPr>
                      <w:rFonts w:hint="eastAsia"/>
                      <w:sz w:val="24"/>
                    </w:rPr>
                    <w:t>星展银行</w:t>
                  </w:r>
                </w:p>
                <w:p w14:paraId="573CD82E">
                  <w:pPr>
                    <w:spacing w:before="40" w:after="40" w:line="276" w:lineRule="auto"/>
                    <w:rPr>
                      <w:sz w:val="24"/>
                    </w:rPr>
                  </w:pPr>
                  <w:r>
                    <w:rPr>
                      <w:rFonts w:hint="eastAsia"/>
                      <w:sz w:val="24"/>
                    </w:rPr>
                    <w:t>宏信资本</w:t>
                  </w:r>
                </w:p>
                <w:p w14:paraId="27B8BDEB">
                  <w:pPr>
                    <w:spacing w:before="40" w:after="40" w:line="276" w:lineRule="auto"/>
                    <w:rPr>
                      <w:sz w:val="24"/>
                    </w:rPr>
                  </w:pPr>
                  <w:r>
                    <w:rPr>
                      <w:rFonts w:hint="eastAsia"/>
                      <w:sz w:val="24"/>
                    </w:rPr>
                    <w:t>珠海聚亿基金</w:t>
                  </w:r>
                </w:p>
              </w:tc>
            </w:tr>
            <w:tr w14:paraId="1B904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32" w:type="dxa"/>
                  <w:tcBorders>
                    <w:top w:val="nil"/>
                    <w:left w:val="nil"/>
                    <w:bottom w:val="nil"/>
                    <w:right w:val="nil"/>
                  </w:tcBorders>
                </w:tcPr>
                <w:p w14:paraId="321CD885">
                  <w:pPr>
                    <w:spacing w:before="40" w:after="40" w:line="276" w:lineRule="auto"/>
                    <w:rPr>
                      <w:sz w:val="24"/>
                    </w:rPr>
                  </w:pPr>
                  <w:r>
                    <w:rPr>
                      <w:rFonts w:hint="eastAsia"/>
                      <w:sz w:val="24"/>
                    </w:rPr>
                    <w:t>北京青创伯乐投资有限公司</w:t>
                  </w:r>
                </w:p>
              </w:tc>
              <w:tc>
                <w:tcPr>
                  <w:tcW w:w="3931" w:type="dxa"/>
                  <w:tcBorders>
                    <w:top w:val="nil"/>
                    <w:left w:val="nil"/>
                    <w:bottom w:val="nil"/>
                    <w:right w:val="nil"/>
                  </w:tcBorders>
                </w:tcPr>
                <w:p w14:paraId="17AB23FC">
                  <w:pPr>
                    <w:spacing w:before="40" w:after="40" w:line="276" w:lineRule="auto"/>
                    <w:rPr>
                      <w:sz w:val="24"/>
                    </w:rPr>
                  </w:pPr>
                  <w:r>
                    <w:rPr>
                      <w:rFonts w:hint="eastAsia"/>
                      <w:sz w:val="24"/>
                    </w:rPr>
                    <w:t>三元基因</w:t>
                  </w:r>
                </w:p>
              </w:tc>
            </w:tr>
            <w:tr w14:paraId="76B77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32" w:type="dxa"/>
                  <w:tcBorders>
                    <w:top w:val="nil"/>
                    <w:left w:val="nil"/>
                    <w:bottom w:val="nil"/>
                    <w:right w:val="nil"/>
                  </w:tcBorders>
                </w:tcPr>
                <w:p w14:paraId="0813ED65">
                  <w:pPr>
                    <w:spacing w:before="40" w:after="40" w:line="276" w:lineRule="auto"/>
                    <w:rPr>
                      <w:sz w:val="24"/>
                    </w:rPr>
                  </w:pPr>
                  <w:r>
                    <w:rPr>
                      <w:rFonts w:hint="eastAsia"/>
                      <w:sz w:val="24"/>
                    </w:rPr>
                    <w:t>中航机载系统股份有限公司</w:t>
                  </w:r>
                </w:p>
              </w:tc>
              <w:tc>
                <w:tcPr>
                  <w:tcW w:w="3931" w:type="dxa"/>
                  <w:tcBorders>
                    <w:top w:val="nil"/>
                    <w:left w:val="nil"/>
                    <w:bottom w:val="nil"/>
                    <w:right w:val="nil"/>
                  </w:tcBorders>
                </w:tcPr>
                <w:p w14:paraId="7F86F023">
                  <w:pPr>
                    <w:spacing w:before="40" w:after="40" w:line="276" w:lineRule="auto"/>
                    <w:rPr>
                      <w:sz w:val="24"/>
                    </w:rPr>
                  </w:pPr>
                  <w:r>
                    <w:rPr>
                      <w:rFonts w:hint="eastAsia"/>
                      <w:sz w:val="24"/>
                    </w:rPr>
                    <w:t>北京汇天诚私募基金公司</w:t>
                  </w:r>
                </w:p>
              </w:tc>
            </w:tr>
            <w:tr w14:paraId="4F0C1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3932" w:type="dxa"/>
                  <w:tcBorders>
                    <w:top w:val="nil"/>
                    <w:left w:val="nil"/>
                    <w:bottom w:val="nil"/>
                    <w:right w:val="nil"/>
                  </w:tcBorders>
                </w:tcPr>
                <w:p w14:paraId="77017549">
                  <w:pPr>
                    <w:spacing w:before="40" w:after="40" w:line="276" w:lineRule="auto"/>
                    <w:rPr>
                      <w:sz w:val="24"/>
                    </w:rPr>
                  </w:pPr>
                  <w:r>
                    <w:rPr>
                      <w:rFonts w:hint="eastAsia"/>
                      <w:sz w:val="24"/>
                    </w:rPr>
                    <w:t xml:space="preserve">上海证券天津营业部 </w:t>
                  </w:r>
                </w:p>
              </w:tc>
              <w:tc>
                <w:tcPr>
                  <w:tcW w:w="3931" w:type="dxa"/>
                  <w:tcBorders>
                    <w:top w:val="nil"/>
                    <w:left w:val="nil"/>
                    <w:bottom w:val="nil"/>
                    <w:right w:val="nil"/>
                  </w:tcBorders>
                </w:tcPr>
                <w:p w14:paraId="0DFD7206">
                  <w:pPr>
                    <w:spacing w:before="40" w:after="40" w:line="276" w:lineRule="auto"/>
                    <w:rPr>
                      <w:sz w:val="24"/>
                    </w:rPr>
                  </w:pPr>
                  <w:r>
                    <w:rPr>
                      <w:rFonts w:hint="eastAsia"/>
                      <w:sz w:val="24"/>
                    </w:rPr>
                    <w:t>上海宝弘景资产管理有限公司</w:t>
                  </w:r>
                </w:p>
              </w:tc>
            </w:tr>
          </w:tbl>
          <w:p w14:paraId="70788998">
            <w:pPr>
              <w:widowControl/>
              <w:jc w:val="left"/>
              <w:rPr>
                <w:kern w:val="0"/>
                <w:sz w:val="24"/>
              </w:rPr>
            </w:pPr>
          </w:p>
        </w:tc>
      </w:tr>
      <w:tr w14:paraId="0E6465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01" w:hRule="atLeast"/>
        </w:trPr>
        <w:tc>
          <w:tcPr>
            <w:tcW w:w="1550" w:type="dxa"/>
            <w:vAlign w:val="center"/>
          </w:tcPr>
          <w:p w14:paraId="49DEF803">
            <w:pPr>
              <w:spacing w:line="54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时间</w:t>
            </w:r>
          </w:p>
        </w:tc>
        <w:tc>
          <w:tcPr>
            <w:tcW w:w="8079" w:type="dxa"/>
            <w:vAlign w:val="center"/>
          </w:tcPr>
          <w:p w14:paraId="09DD6B27">
            <w:pPr>
              <w:spacing w:line="540" w:lineRule="exact"/>
              <w:jc w:val="left"/>
              <w:rPr>
                <w:rFonts w:hint="eastAsia" w:asciiTheme="minorEastAsia" w:hAnsiTheme="minorEastAsia" w:eastAsiaTheme="minorEastAsia"/>
                <w:sz w:val="24"/>
              </w:rPr>
            </w:pPr>
            <w:r>
              <w:rPr>
                <w:rFonts w:asciiTheme="minorEastAsia" w:hAnsiTheme="minorEastAsia" w:eastAsiaTheme="minorEastAsia"/>
                <w:sz w:val="24"/>
              </w:rPr>
              <w:t>202</w:t>
            </w:r>
            <w:r>
              <w:rPr>
                <w:rFonts w:hint="eastAsia" w:asciiTheme="minorEastAsia" w:hAnsiTheme="minorEastAsia" w:eastAsiaTheme="minorEastAsia"/>
                <w:sz w:val="24"/>
              </w:rPr>
              <w:t>6年11月3日</w:t>
            </w:r>
          </w:p>
        </w:tc>
      </w:tr>
      <w:tr w14:paraId="4C954A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550" w:type="dxa"/>
            <w:vAlign w:val="center"/>
          </w:tcPr>
          <w:p w14:paraId="3C92D6AB">
            <w:pPr>
              <w:spacing w:line="54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地点</w:t>
            </w:r>
          </w:p>
        </w:tc>
        <w:tc>
          <w:tcPr>
            <w:tcW w:w="8079" w:type="dxa"/>
            <w:vAlign w:val="center"/>
          </w:tcPr>
          <w:p w14:paraId="68422513">
            <w:pPr>
              <w:widowControl/>
              <w:jc w:val="left"/>
              <w:rPr>
                <w:rFonts w:hint="eastAsia" w:asciiTheme="minorEastAsia" w:hAnsiTheme="minorEastAsia" w:eastAsiaTheme="minorEastAsia"/>
                <w:sz w:val="24"/>
              </w:rPr>
            </w:pPr>
            <w:r>
              <w:rPr>
                <w:rFonts w:hint="eastAsia" w:asciiTheme="minorEastAsia" w:hAnsiTheme="minorEastAsia" w:eastAsiaTheme="minorEastAsia"/>
                <w:sz w:val="24"/>
              </w:rPr>
              <w:t>公司会议室</w:t>
            </w:r>
          </w:p>
        </w:tc>
      </w:tr>
      <w:tr w14:paraId="1A2338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38" w:hRule="atLeast"/>
        </w:trPr>
        <w:tc>
          <w:tcPr>
            <w:tcW w:w="1550" w:type="dxa"/>
            <w:vAlign w:val="center"/>
          </w:tcPr>
          <w:p w14:paraId="165CDE94">
            <w:pPr>
              <w:spacing w:line="54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上市公司接待人员姓名</w:t>
            </w:r>
          </w:p>
        </w:tc>
        <w:tc>
          <w:tcPr>
            <w:tcW w:w="8079" w:type="dxa"/>
            <w:vAlign w:val="center"/>
          </w:tcPr>
          <w:p w14:paraId="1A695B0E">
            <w:pPr>
              <w:spacing w:line="540" w:lineRule="exact"/>
              <w:jc w:val="left"/>
              <w:rPr>
                <w:rFonts w:hint="eastAsia" w:asciiTheme="minorEastAsia" w:hAnsiTheme="minorEastAsia" w:eastAsiaTheme="minorEastAsia"/>
                <w:sz w:val="24"/>
              </w:rPr>
            </w:pPr>
            <w:r>
              <w:rPr>
                <w:rFonts w:hint="eastAsia" w:asciiTheme="minorEastAsia" w:hAnsiTheme="minorEastAsia" w:eastAsiaTheme="minorEastAsia"/>
                <w:sz w:val="24"/>
              </w:rPr>
              <w:t>董事长、总经理：姚毅</w:t>
            </w:r>
          </w:p>
          <w:p w14:paraId="3E4C8F53">
            <w:pPr>
              <w:spacing w:line="540" w:lineRule="exact"/>
              <w:jc w:val="left"/>
              <w:rPr>
                <w:rFonts w:hint="eastAsia" w:asciiTheme="minorEastAsia" w:hAnsiTheme="minorEastAsia" w:eastAsiaTheme="minorEastAsia"/>
                <w:sz w:val="24"/>
              </w:rPr>
            </w:pPr>
            <w:r>
              <w:rPr>
                <w:rFonts w:hint="eastAsia" w:asciiTheme="minorEastAsia" w:hAnsiTheme="minorEastAsia" w:eastAsiaTheme="minorEastAsia"/>
                <w:sz w:val="24"/>
              </w:rPr>
              <w:t>董事会秘书、财务负责人：顾宝兴</w:t>
            </w:r>
          </w:p>
        </w:tc>
      </w:tr>
      <w:tr w14:paraId="652A51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31" w:hRule="atLeast"/>
        </w:trPr>
        <w:tc>
          <w:tcPr>
            <w:tcW w:w="1550" w:type="dxa"/>
            <w:vAlign w:val="center"/>
          </w:tcPr>
          <w:p w14:paraId="543575F6">
            <w:pPr>
              <w:spacing w:line="540" w:lineRule="exact"/>
              <w:rPr>
                <w:rFonts w:hint="eastAsia" w:cs="宋体" w:asciiTheme="minorEastAsia" w:hAnsiTheme="minorEastAsia" w:eastAsiaTheme="minorEastAsia"/>
                <w:sz w:val="24"/>
              </w:rPr>
            </w:pPr>
          </w:p>
          <w:p w14:paraId="21FB5116">
            <w:pPr>
              <w:spacing w:line="540" w:lineRule="exact"/>
              <w:rPr>
                <w:rFonts w:hint="eastAsia" w:cs="宋体" w:asciiTheme="minorEastAsia" w:hAnsiTheme="minorEastAsia" w:eastAsiaTheme="minorEastAsia"/>
                <w:sz w:val="24"/>
              </w:rPr>
            </w:pPr>
          </w:p>
          <w:p w14:paraId="41626FFD">
            <w:pPr>
              <w:spacing w:line="540" w:lineRule="exact"/>
              <w:rPr>
                <w:rFonts w:hint="eastAsia" w:cs="宋体" w:asciiTheme="minorEastAsia" w:hAnsiTheme="minorEastAsia" w:eastAsiaTheme="minorEastAsia"/>
                <w:sz w:val="24"/>
              </w:rPr>
            </w:pPr>
          </w:p>
          <w:p w14:paraId="786F232F">
            <w:pPr>
              <w:spacing w:line="540" w:lineRule="exact"/>
              <w:rPr>
                <w:rFonts w:hint="eastAsia" w:cs="宋体" w:asciiTheme="minorEastAsia" w:hAnsiTheme="minorEastAsia" w:eastAsiaTheme="minorEastAsia"/>
                <w:sz w:val="24"/>
              </w:rPr>
            </w:pPr>
          </w:p>
          <w:p w14:paraId="5AA5BFF4">
            <w:pPr>
              <w:spacing w:line="540" w:lineRule="exact"/>
              <w:rPr>
                <w:rFonts w:hint="eastAsia" w:cs="宋体" w:asciiTheme="minorEastAsia" w:hAnsiTheme="minorEastAsia" w:eastAsiaTheme="minorEastAsia"/>
                <w:sz w:val="24"/>
              </w:rPr>
            </w:pPr>
          </w:p>
          <w:p w14:paraId="23C1D37A">
            <w:pPr>
              <w:spacing w:line="540" w:lineRule="exact"/>
              <w:rPr>
                <w:rFonts w:hint="eastAsia" w:cs="宋体" w:asciiTheme="minorEastAsia" w:hAnsiTheme="minorEastAsia" w:eastAsiaTheme="minorEastAsia"/>
                <w:sz w:val="24"/>
              </w:rPr>
            </w:pPr>
          </w:p>
          <w:p w14:paraId="5DDAAF02">
            <w:pPr>
              <w:spacing w:line="540" w:lineRule="exact"/>
              <w:rPr>
                <w:rFonts w:hint="eastAsia" w:cs="宋体" w:asciiTheme="minorEastAsia" w:hAnsiTheme="minorEastAsia" w:eastAsiaTheme="minorEastAsia"/>
                <w:sz w:val="24"/>
              </w:rPr>
            </w:pPr>
          </w:p>
          <w:p w14:paraId="2978C8B4">
            <w:pPr>
              <w:spacing w:line="540" w:lineRule="exact"/>
              <w:rPr>
                <w:rFonts w:hint="eastAsia" w:cs="宋体" w:asciiTheme="minorEastAsia" w:hAnsiTheme="minorEastAsia" w:eastAsiaTheme="minorEastAsia"/>
                <w:sz w:val="24"/>
              </w:rPr>
            </w:pPr>
          </w:p>
          <w:p w14:paraId="19B8673A">
            <w:pPr>
              <w:spacing w:line="540" w:lineRule="exact"/>
              <w:rPr>
                <w:rFonts w:hint="eastAsia" w:cs="宋体" w:asciiTheme="minorEastAsia" w:hAnsiTheme="minorEastAsia" w:eastAsiaTheme="minorEastAsia"/>
                <w:sz w:val="24"/>
              </w:rPr>
            </w:pPr>
          </w:p>
          <w:p w14:paraId="44EFCA66">
            <w:pPr>
              <w:spacing w:line="540" w:lineRule="exact"/>
              <w:rPr>
                <w:rFonts w:hint="eastAsia" w:cs="宋体" w:asciiTheme="minorEastAsia" w:hAnsiTheme="minorEastAsia" w:eastAsiaTheme="minorEastAsia"/>
                <w:sz w:val="24"/>
              </w:rPr>
            </w:pPr>
            <w:r>
              <w:rPr>
                <w:rFonts w:hint="eastAsia" w:cs="宋体" w:asciiTheme="minorEastAsia" w:hAnsiTheme="minorEastAsia" w:eastAsiaTheme="minorEastAsia"/>
                <w:sz w:val="24"/>
              </w:rPr>
              <w:t>投资者关系活动主要</w:t>
            </w:r>
          </w:p>
          <w:p w14:paraId="3E3495C1">
            <w:pPr>
              <w:spacing w:line="540" w:lineRule="exact"/>
              <w:jc w:val="center"/>
              <w:rPr>
                <w:rFonts w:hint="eastAsia" w:cs="宋体" w:asciiTheme="minorEastAsia" w:hAnsiTheme="minorEastAsia" w:eastAsiaTheme="minorEastAsia"/>
                <w:sz w:val="24"/>
              </w:rPr>
            </w:pPr>
            <w:r>
              <w:rPr>
                <w:rFonts w:hint="eastAsia" w:cs="宋体" w:asciiTheme="minorEastAsia" w:hAnsiTheme="minorEastAsia" w:eastAsiaTheme="minorEastAsia"/>
                <w:sz w:val="24"/>
              </w:rPr>
              <w:t>内容介绍</w:t>
            </w:r>
          </w:p>
          <w:p w14:paraId="0261D9C5">
            <w:pPr>
              <w:spacing w:line="540" w:lineRule="exact"/>
              <w:jc w:val="center"/>
              <w:rPr>
                <w:rFonts w:hint="eastAsia" w:cs="宋体" w:asciiTheme="minorEastAsia" w:hAnsiTheme="minorEastAsia" w:eastAsiaTheme="minorEastAsia"/>
                <w:sz w:val="24"/>
              </w:rPr>
            </w:pPr>
          </w:p>
          <w:p w14:paraId="679F1FCE">
            <w:pPr>
              <w:spacing w:line="540" w:lineRule="exact"/>
              <w:jc w:val="center"/>
              <w:rPr>
                <w:rFonts w:hint="eastAsia" w:asciiTheme="minorEastAsia" w:hAnsiTheme="minorEastAsia" w:eastAsiaTheme="minorEastAsia"/>
                <w:sz w:val="24"/>
              </w:rPr>
            </w:pPr>
          </w:p>
          <w:p w14:paraId="60523403">
            <w:pPr>
              <w:spacing w:line="540" w:lineRule="exact"/>
              <w:jc w:val="center"/>
              <w:rPr>
                <w:rFonts w:hint="eastAsia" w:asciiTheme="minorEastAsia" w:hAnsiTheme="minorEastAsia" w:eastAsiaTheme="minorEastAsia"/>
                <w:sz w:val="24"/>
              </w:rPr>
            </w:pPr>
          </w:p>
          <w:p w14:paraId="6484A546">
            <w:pPr>
              <w:spacing w:line="540" w:lineRule="exact"/>
              <w:jc w:val="center"/>
              <w:rPr>
                <w:rFonts w:hint="eastAsia" w:asciiTheme="minorEastAsia" w:hAnsiTheme="minorEastAsia" w:eastAsiaTheme="minorEastAsia"/>
                <w:sz w:val="24"/>
              </w:rPr>
            </w:pPr>
          </w:p>
          <w:p w14:paraId="34EEB6AA">
            <w:pPr>
              <w:spacing w:line="540" w:lineRule="exact"/>
              <w:jc w:val="center"/>
              <w:rPr>
                <w:rFonts w:hint="eastAsia" w:asciiTheme="minorEastAsia" w:hAnsiTheme="minorEastAsia" w:eastAsiaTheme="minorEastAsia"/>
                <w:sz w:val="24"/>
              </w:rPr>
            </w:pPr>
          </w:p>
          <w:p w14:paraId="23891727">
            <w:pPr>
              <w:spacing w:line="540" w:lineRule="exact"/>
              <w:jc w:val="center"/>
              <w:rPr>
                <w:rFonts w:hint="eastAsia" w:asciiTheme="minorEastAsia" w:hAnsiTheme="minorEastAsia" w:eastAsiaTheme="minorEastAsia"/>
                <w:sz w:val="24"/>
              </w:rPr>
            </w:pPr>
          </w:p>
          <w:p w14:paraId="7EEC0712">
            <w:pPr>
              <w:spacing w:line="540" w:lineRule="exact"/>
              <w:jc w:val="center"/>
              <w:rPr>
                <w:rFonts w:hint="eastAsia" w:asciiTheme="minorEastAsia" w:hAnsiTheme="minorEastAsia" w:eastAsiaTheme="minorEastAsia"/>
                <w:sz w:val="24"/>
              </w:rPr>
            </w:pPr>
          </w:p>
        </w:tc>
        <w:tc>
          <w:tcPr>
            <w:tcW w:w="8079" w:type="dxa"/>
            <w:vAlign w:val="center"/>
          </w:tcPr>
          <w:p w14:paraId="4EEE13DF">
            <w:pPr>
              <w:pStyle w:val="25"/>
              <w:numPr>
                <w:ilvl w:val="0"/>
                <w:numId w:val="1"/>
              </w:numPr>
              <w:spacing w:after="160" w:line="360" w:lineRule="auto"/>
              <w:ind w:firstLineChars="0"/>
              <w:contextualSpacing/>
              <w:rPr>
                <w:rFonts w:eastAsiaTheme="minorEastAsia"/>
                <w:b/>
                <w:bCs/>
                <w:sz w:val="24"/>
              </w:rPr>
            </w:pPr>
            <w:r>
              <w:rPr>
                <w:rFonts w:hint="eastAsia" w:eastAsiaTheme="minorEastAsia"/>
                <w:b/>
                <w:bCs/>
                <w:sz w:val="24"/>
              </w:rPr>
              <w:t>活动流程</w:t>
            </w:r>
          </w:p>
          <w:p w14:paraId="1362629A">
            <w:pPr>
              <w:spacing w:after="160" w:line="360" w:lineRule="auto"/>
              <w:contextualSpacing/>
              <w:rPr>
                <w:rFonts w:eastAsiaTheme="minorEastAsia"/>
                <w:sz w:val="24"/>
              </w:rPr>
            </w:pPr>
            <w:r>
              <w:rPr>
                <w:rFonts w:hint="eastAsia" w:eastAsiaTheme="minorEastAsia"/>
                <w:sz w:val="24"/>
              </w:rPr>
              <w:t>13:30-14:00 公司前台签到</w:t>
            </w:r>
          </w:p>
          <w:p w14:paraId="3FDB4990">
            <w:pPr>
              <w:spacing w:after="160" w:line="360" w:lineRule="auto"/>
              <w:contextualSpacing/>
              <w:rPr>
                <w:rFonts w:eastAsiaTheme="minorEastAsia"/>
                <w:sz w:val="24"/>
              </w:rPr>
            </w:pPr>
            <w:r>
              <w:rPr>
                <w:rFonts w:hint="eastAsia" w:eastAsiaTheme="minorEastAsia"/>
                <w:sz w:val="24"/>
              </w:rPr>
              <w:t>14:00-14:30 参观公司展厅</w:t>
            </w:r>
          </w:p>
          <w:p w14:paraId="12C6BAC0">
            <w:pPr>
              <w:spacing w:after="160" w:line="360" w:lineRule="auto"/>
              <w:contextualSpacing/>
              <w:rPr>
                <w:rFonts w:eastAsiaTheme="minorEastAsia"/>
                <w:sz w:val="24"/>
              </w:rPr>
            </w:pPr>
            <w:r>
              <w:rPr>
                <w:rFonts w:hint="eastAsia" w:eastAsiaTheme="minorEastAsia"/>
                <w:sz w:val="24"/>
              </w:rPr>
              <w:t>14:30-14:45 合影留念</w:t>
            </w:r>
          </w:p>
          <w:p w14:paraId="294744C8">
            <w:pPr>
              <w:spacing w:after="160" w:line="360" w:lineRule="auto"/>
              <w:contextualSpacing/>
              <w:rPr>
                <w:rFonts w:eastAsiaTheme="minorEastAsia"/>
                <w:sz w:val="24"/>
              </w:rPr>
            </w:pPr>
            <w:r>
              <w:rPr>
                <w:rFonts w:hint="eastAsia" w:eastAsiaTheme="minorEastAsia"/>
                <w:sz w:val="24"/>
              </w:rPr>
              <w:t>14:35-14:40 嘉宾介绍</w:t>
            </w:r>
          </w:p>
          <w:p w14:paraId="5D29FFBD">
            <w:pPr>
              <w:spacing w:after="160" w:line="360" w:lineRule="auto"/>
              <w:contextualSpacing/>
              <w:rPr>
                <w:rFonts w:eastAsiaTheme="minorEastAsia"/>
                <w:sz w:val="24"/>
              </w:rPr>
            </w:pPr>
            <w:r>
              <w:rPr>
                <w:rFonts w:hint="eastAsia" w:eastAsiaTheme="minorEastAsia"/>
                <w:sz w:val="24"/>
              </w:rPr>
              <w:t>14:40-15:00 致辞</w:t>
            </w:r>
          </w:p>
          <w:p w14:paraId="0530E86D">
            <w:pPr>
              <w:spacing w:after="160" w:line="360" w:lineRule="auto"/>
              <w:contextualSpacing/>
              <w:rPr>
                <w:rFonts w:eastAsiaTheme="minorEastAsia"/>
                <w:sz w:val="24"/>
              </w:rPr>
            </w:pPr>
            <w:r>
              <w:rPr>
                <w:rFonts w:hint="eastAsia" w:eastAsiaTheme="minorEastAsia"/>
                <w:sz w:val="24"/>
              </w:rPr>
              <w:t>15:00-15:30 凌云光主要经营情况介绍</w:t>
            </w:r>
          </w:p>
          <w:p w14:paraId="3E17F854">
            <w:pPr>
              <w:spacing w:after="160" w:line="360" w:lineRule="auto"/>
              <w:contextualSpacing/>
              <w:rPr>
                <w:rFonts w:eastAsiaTheme="minorEastAsia"/>
                <w:sz w:val="24"/>
              </w:rPr>
            </w:pPr>
            <w:r>
              <w:rPr>
                <w:rFonts w:hint="eastAsia" w:eastAsiaTheme="minorEastAsia"/>
                <w:sz w:val="24"/>
              </w:rPr>
              <w:t>15:30-15:50 中信建投证券行业分析</w:t>
            </w:r>
          </w:p>
          <w:p w14:paraId="0A795038">
            <w:pPr>
              <w:spacing w:after="160" w:line="360" w:lineRule="auto"/>
              <w:contextualSpacing/>
              <w:rPr>
                <w:rFonts w:eastAsiaTheme="minorEastAsia"/>
                <w:sz w:val="24"/>
              </w:rPr>
            </w:pPr>
            <w:r>
              <w:rPr>
                <w:rFonts w:hint="eastAsia" w:eastAsiaTheme="minorEastAsia"/>
                <w:sz w:val="24"/>
              </w:rPr>
              <w:t>15:50-16:30 高管交流</w:t>
            </w:r>
          </w:p>
          <w:p w14:paraId="1BDEA4EA">
            <w:pPr>
              <w:spacing w:after="160" w:line="360" w:lineRule="auto"/>
              <w:contextualSpacing/>
              <w:rPr>
                <w:rFonts w:eastAsiaTheme="minorEastAsia"/>
                <w:sz w:val="24"/>
              </w:rPr>
            </w:pPr>
            <w:r>
              <w:rPr>
                <w:rFonts w:hint="eastAsia" w:eastAsiaTheme="minorEastAsia"/>
                <w:sz w:val="24"/>
              </w:rPr>
              <w:t>16:30-16:40 总结结束</w:t>
            </w:r>
          </w:p>
          <w:p w14:paraId="5D3C39D1">
            <w:pPr>
              <w:spacing w:after="160" w:line="360" w:lineRule="auto"/>
              <w:contextualSpacing/>
              <w:rPr>
                <w:rFonts w:eastAsiaTheme="minorEastAsia"/>
                <w:b/>
                <w:bCs/>
                <w:sz w:val="24"/>
              </w:rPr>
            </w:pPr>
            <w:r>
              <w:rPr>
                <w:rFonts w:hint="eastAsia" w:eastAsiaTheme="minorEastAsia"/>
                <w:b/>
                <w:bCs/>
                <w:sz w:val="24"/>
              </w:rPr>
              <w:t>二、交流主要内容</w:t>
            </w:r>
          </w:p>
          <w:p w14:paraId="54EC1F6D">
            <w:pPr>
              <w:pStyle w:val="25"/>
              <w:numPr>
                <w:ilvl w:val="0"/>
                <w:numId w:val="2"/>
              </w:numPr>
              <w:spacing w:after="160" w:line="360" w:lineRule="auto"/>
              <w:ind w:firstLineChars="0"/>
              <w:contextualSpacing/>
              <w:rPr>
                <w:rFonts w:eastAsiaTheme="minorEastAsia"/>
                <w:b/>
                <w:bCs/>
                <w:sz w:val="24"/>
              </w:rPr>
            </w:pPr>
            <w:r>
              <w:rPr>
                <w:rFonts w:hint="eastAsia" w:eastAsiaTheme="minorEastAsia"/>
                <w:b/>
                <w:bCs/>
                <w:sz w:val="24"/>
              </w:rPr>
              <w:t>公司2026年前三季度业绩表现较好的主要原因是什么？目前在手订单及收入转化情况如何？</w:t>
            </w:r>
          </w:p>
          <w:p w14:paraId="0F6C9276">
            <w:pPr>
              <w:spacing w:after="160" w:line="360" w:lineRule="auto"/>
              <w:ind w:firstLine="480" w:firstLineChars="200"/>
              <w:contextualSpacing/>
              <w:rPr>
                <w:rFonts w:eastAsiaTheme="minorEastAsia"/>
                <w:sz w:val="24"/>
              </w:rPr>
            </w:pPr>
            <w:r>
              <w:rPr>
                <w:rFonts w:hint="eastAsia" w:eastAsiaTheme="minorEastAsia"/>
                <w:sz w:val="24"/>
              </w:rPr>
              <w:t>前三季度公司收入同比略有增长（7%），利润端表现较好，</w:t>
            </w:r>
            <w:r>
              <w:rPr>
                <w:rFonts w:eastAsiaTheme="minorEastAsia"/>
                <w:sz w:val="24"/>
              </w:rPr>
              <w:t>主要得益于主营业务盈利能力的改善。剔除投资收益影响后，扣非净利润同比增长约30%，且是在研发投入</w:t>
            </w:r>
            <w:r>
              <w:rPr>
                <w:rFonts w:hint="eastAsia" w:eastAsiaTheme="minorEastAsia"/>
                <w:sz w:val="24"/>
              </w:rPr>
              <w:t>同比增长8000多万</w:t>
            </w:r>
            <w:r>
              <w:rPr>
                <w:rFonts w:hint="eastAsia" w:eastAsiaTheme="minorEastAsia"/>
                <w:sz w:val="24"/>
                <w:lang w:val="en-US" w:eastAsia="zh-CN"/>
              </w:rPr>
              <w:t>元</w:t>
            </w:r>
            <w:r>
              <w:rPr>
                <w:rFonts w:eastAsiaTheme="minorEastAsia"/>
                <w:sz w:val="24"/>
              </w:rPr>
              <w:t>、部分</w:t>
            </w:r>
            <w:r>
              <w:rPr>
                <w:rFonts w:hint="eastAsia" w:eastAsiaTheme="minorEastAsia"/>
                <w:sz w:val="24"/>
              </w:rPr>
              <w:t>固定</w:t>
            </w:r>
            <w:r>
              <w:rPr>
                <w:rFonts w:eastAsiaTheme="minorEastAsia"/>
                <w:sz w:val="24"/>
              </w:rPr>
              <w:t>资产加速折旧的背景下实现的，反映出公司经营质量的稳步提升。</w:t>
            </w:r>
          </w:p>
          <w:p w14:paraId="69BE011B">
            <w:pPr>
              <w:spacing w:after="160" w:line="360" w:lineRule="auto"/>
              <w:ind w:firstLine="480" w:firstLineChars="200"/>
              <w:contextualSpacing/>
              <w:rPr>
                <w:rFonts w:eastAsiaTheme="minorEastAsia"/>
                <w:sz w:val="24"/>
              </w:rPr>
            </w:pPr>
            <w:r>
              <w:rPr>
                <w:rFonts w:eastAsiaTheme="minorEastAsia"/>
                <w:sz w:val="24"/>
              </w:rPr>
              <w:t>订单方面，公司整体订单获取情况良好，同比增速高于同期收入增速，业务结构调整初见成效。其中光通信下游部分订单尚未完成收入转化，具体转化进度取决于产品交付及客户验收安排，存在不确定性。相关财务数据请以公司披露的定期报告为准。</w:t>
            </w:r>
          </w:p>
          <w:p w14:paraId="419D2FBD">
            <w:pPr>
              <w:pStyle w:val="25"/>
              <w:numPr>
                <w:ilvl w:val="0"/>
                <w:numId w:val="2"/>
              </w:numPr>
              <w:spacing w:after="160" w:line="360" w:lineRule="auto"/>
              <w:ind w:firstLineChars="0"/>
              <w:contextualSpacing/>
              <w:rPr>
                <w:rFonts w:eastAsiaTheme="minorEastAsia"/>
                <w:b/>
                <w:bCs/>
                <w:sz w:val="24"/>
              </w:rPr>
            </w:pPr>
            <w:r>
              <w:rPr>
                <w:rFonts w:eastAsiaTheme="minorEastAsia"/>
                <w:b/>
                <w:bCs/>
                <w:sz w:val="24"/>
              </w:rPr>
              <w:t>公司在AI应用端（特别是具身智能方向）有哪些布局？视觉技术如何赋能应用端各行业？</w:t>
            </w:r>
          </w:p>
          <w:p w14:paraId="1F65E941">
            <w:pPr>
              <w:spacing w:after="160" w:line="360" w:lineRule="auto"/>
              <w:ind w:firstLine="480" w:firstLineChars="200"/>
              <w:contextualSpacing/>
              <w:rPr>
                <w:rFonts w:eastAsiaTheme="minorEastAsia"/>
                <w:sz w:val="24"/>
              </w:rPr>
            </w:pPr>
            <w:r>
              <w:rPr>
                <w:rFonts w:eastAsiaTheme="minorEastAsia"/>
                <w:sz w:val="24"/>
              </w:rPr>
              <w:t>公司是具身智能产业发展的受益者，在AI应用端的布局主要包括三方面：一是机器人数据采集，公司运动捕捉设备及多模态数据采集方案已应用于北京石景山等地的数据采集中心，并与</w:t>
            </w:r>
            <w:r>
              <w:rPr>
                <w:rFonts w:hint="eastAsia" w:eastAsiaTheme="minorEastAsia"/>
                <w:sz w:val="24"/>
              </w:rPr>
              <w:t>众多机器人本体厂商</w:t>
            </w:r>
            <w:r>
              <w:rPr>
                <w:rFonts w:eastAsiaTheme="minorEastAsia"/>
                <w:sz w:val="24"/>
              </w:rPr>
              <w:t>开展合作；二是机器人质量检测系统，为机器人本体厂商提供</w:t>
            </w:r>
            <w:r>
              <w:rPr>
                <w:rFonts w:hint="eastAsia" w:eastAsiaTheme="minorEastAsia"/>
                <w:sz w:val="24"/>
              </w:rPr>
              <w:t>量产</w:t>
            </w:r>
            <w:r>
              <w:rPr>
                <w:rFonts w:eastAsiaTheme="minorEastAsia"/>
                <w:sz w:val="24"/>
              </w:rPr>
              <w:t>检测服务；三是机器人训练系统，通过真人动作采集与视觉骨骼建模技术，为机器人训练提供数据支撑与评价标准。此外，公司正与头部制造客户探讨</w:t>
            </w:r>
            <w:r>
              <w:rPr>
                <w:rFonts w:hint="eastAsia" w:eastAsiaTheme="minorEastAsia"/>
                <w:sz w:val="24"/>
              </w:rPr>
              <w:t>“具身智能数据采集+机器人本体”</w:t>
            </w:r>
            <w:r>
              <w:rPr>
                <w:rFonts w:eastAsiaTheme="minorEastAsia"/>
                <w:sz w:val="24"/>
              </w:rPr>
              <w:t>的整体解决方案，</w:t>
            </w:r>
            <w:r>
              <w:rPr>
                <w:rFonts w:hint="eastAsia" w:eastAsiaTheme="minorEastAsia"/>
                <w:sz w:val="24"/>
              </w:rPr>
              <w:t>基于具身方案服务客户的智能生产与检测</w:t>
            </w:r>
            <w:r>
              <w:rPr>
                <w:rFonts w:eastAsiaTheme="minorEastAsia"/>
                <w:sz w:val="24"/>
              </w:rPr>
              <w:t>。</w:t>
            </w:r>
            <w:r>
              <w:rPr>
                <w:rFonts w:ascii="Times New Roman" w:hAnsi="Times New Roman" w:cs="Times New Roman" w:eastAsiaTheme="minorEastAsia"/>
                <w:kern w:val="2"/>
                <w:sz w:val="24"/>
                <w:szCs w:val="24"/>
                <w:lang w:val="en-US" w:eastAsia="zh-CN" w:bidi="ar"/>
              </w:rPr>
              <w:t>具身智能相关业务</w:t>
            </w:r>
            <w:r>
              <w:rPr>
                <w:rFonts w:hint="eastAsia" w:cs="Times New Roman" w:eastAsiaTheme="minorEastAsia"/>
                <w:kern w:val="2"/>
                <w:sz w:val="24"/>
                <w:szCs w:val="24"/>
                <w:lang w:val="en-US" w:eastAsia="zh-CN" w:bidi="ar"/>
              </w:rPr>
              <w:t>目前</w:t>
            </w:r>
            <w:r>
              <w:rPr>
                <w:rFonts w:ascii="Times New Roman" w:hAnsi="Times New Roman" w:cs="Times New Roman" w:eastAsiaTheme="minorEastAsia"/>
                <w:kern w:val="2"/>
                <w:sz w:val="24"/>
                <w:szCs w:val="24"/>
                <w:lang w:val="en-US" w:eastAsia="zh-CN" w:bidi="ar"/>
              </w:rPr>
              <w:t>收入规模较小，对公司当期经营业绩不构成重大影响，其后续推进</w:t>
            </w:r>
            <w:r>
              <w:rPr>
                <w:rFonts w:hint="eastAsia" w:cs="Times New Roman" w:eastAsiaTheme="minorEastAsia"/>
                <w:kern w:val="2"/>
                <w:sz w:val="24"/>
                <w:szCs w:val="24"/>
                <w:lang w:val="en-US" w:eastAsia="zh-CN" w:bidi="ar"/>
              </w:rPr>
              <w:t>进度</w:t>
            </w:r>
            <w:r>
              <w:rPr>
                <w:rFonts w:ascii="Times New Roman" w:hAnsi="Times New Roman" w:cs="Times New Roman" w:eastAsiaTheme="minorEastAsia"/>
                <w:kern w:val="2"/>
                <w:sz w:val="24"/>
                <w:szCs w:val="24"/>
                <w:lang w:val="en-US" w:eastAsia="zh-CN" w:bidi="ar"/>
              </w:rPr>
              <w:t>存在不确定性，敬请投资者注意投资风险。</w:t>
            </w:r>
          </w:p>
          <w:p w14:paraId="0738A23D">
            <w:pPr>
              <w:spacing w:after="160" w:line="360" w:lineRule="auto"/>
              <w:ind w:firstLine="480" w:firstLineChars="200"/>
              <w:contextualSpacing/>
              <w:rPr>
                <w:rFonts w:eastAsiaTheme="minorEastAsia"/>
                <w:sz w:val="24"/>
              </w:rPr>
            </w:pPr>
            <w:r>
              <w:rPr>
                <w:rFonts w:eastAsiaTheme="minorEastAsia"/>
                <w:sz w:val="24"/>
              </w:rPr>
              <w:t>在行业赋能方面，公司视觉系统已在</w:t>
            </w:r>
            <w:r>
              <w:rPr>
                <w:rFonts w:hint="eastAsia" w:eastAsiaTheme="minorEastAsia"/>
                <w:sz w:val="24"/>
              </w:rPr>
              <w:t>工业</w:t>
            </w:r>
            <w:r>
              <w:rPr>
                <w:rFonts w:eastAsiaTheme="minorEastAsia"/>
                <w:sz w:val="24"/>
              </w:rPr>
              <w:t>领域深度应用，将工艺理解、缺陷分类分级等能力与大语言模型结合，构建推理模型，实现产线预测性维护。公司定位是以</w:t>
            </w:r>
            <w:r>
              <w:rPr>
                <w:rFonts w:hint="eastAsia" w:eastAsiaTheme="minorEastAsia"/>
                <w:sz w:val="24"/>
              </w:rPr>
              <w:t>“</w:t>
            </w:r>
            <w:r>
              <w:rPr>
                <w:rFonts w:eastAsiaTheme="minorEastAsia"/>
                <w:sz w:val="24"/>
              </w:rPr>
              <w:t>视觉＋AI</w:t>
            </w:r>
            <w:r>
              <w:rPr>
                <w:rFonts w:hint="eastAsia" w:eastAsiaTheme="minorEastAsia"/>
                <w:sz w:val="24"/>
              </w:rPr>
              <w:t>”</w:t>
            </w:r>
            <w:r>
              <w:rPr>
                <w:rFonts w:eastAsiaTheme="minorEastAsia"/>
                <w:sz w:val="24"/>
              </w:rPr>
              <w:t>推动工业人工智能在各行业场景落地，帮助客户实现更高质量的智能制造。</w:t>
            </w:r>
          </w:p>
          <w:p w14:paraId="2C774A40">
            <w:pPr>
              <w:pStyle w:val="25"/>
              <w:numPr>
                <w:ilvl w:val="0"/>
                <w:numId w:val="2"/>
              </w:numPr>
              <w:spacing w:after="160" w:line="360" w:lineRule="auto"/>
              <w:ind w:firstLineChars="0"/>
              <w:contextualSpacing/>
              <w:rPr>
                <w:rFonts w:eastAsiaTheme="minorEastAsia"/>
                <w:b/>
                <w:bCs/>
                <w:sz w:val="24"/>
              </w:rPr>
            </w:pPr>
            <w:r>
              <w:rPr>
                <w:rFonts w:eastAsiaTheme="minorEastAsia"/>
                <w:b/>
                <w:bCs/>
                <w:sz w:val="24"/>
              </w:rPr>
              <w:t>如何看待国内同行业公司？公司未来的行业地位和发展目标是什么？</w:t>
            </w:r>
          </w:p>
          <w:p w14:paraId="0E024506">
            <w:pPr>
              <w:spacing w:after="160" w:line="360" w:lineRule="auto"/>
              <w:ind w:firstLine="480" w:firstLineChars="200"/>
              <w:contextualSpacing/>
              <w:rPr>
                <w:rFonts w:eastAsiaTheme="minorEastAsia"/>
                <w:sz w:val="24"/>
              </w:rPr>
            </w:pPr>
            <w:r>
              <w:rPr>
                <w:rFonts w:eastAsiaTheme="minorEastAsia"/>
                <w:sz w:val="24"/>
              </w:rPr>
              <w:t>国内机器视觉行业各家公司定位各有侧重，整体都较为优秀。公司走的是</w:t>
            </w:r>
            <w:r>
              <w:rPr>
                <w:rFonts w:hint="eastAsia" w:eastAsiaTheme="minorEastAsia"/>
                <w:sz w:val="24"/>
              </w:rPr>
              <w:t>“相机+</w:t>
            </w:r>
            <w:r>
              <w:rPr>
                <w:rFonts w:eastAsiaTheme="minorEastAsia"/>
                <w:sz w:val="24"/>
              </w:rPr>
              <w:t>系统＋装备</w:t>
            </w:r>
            <w:r>
              <w:rPr>
                <w:rFonts w:hint="eastAsia" w:eastAsiaTheme="minorEastAsia"/>
                <w:sz w:val="24"/>
              </w:rPr>
              <w:t>”</w:t>
            </w:r>
            <w:r>
              <w:rPr>
                <w:rFonts w:eastAsiaTheme="minorEastAsia"/>
                <w:sz w:val="24"/>
              </w:rPr>
              <w:t>路线，产业链覆盖较全，</w:t>
            </w:r>
            <w:r>
              <w:rPr>
                <w:rFonts w:hint="eastAsia" w:eastAsiaTheme="minorEastAsia"/>
                <w:sz w:val="24"/>
              </w:rPr>
              <w:t>相关产品在应用行业的首批创新推出比例较高</w:t>
            </w:r>
            <w:r>
              <w:rPr>
                <w:rFonts w:eastAsiaTheme="minorEastAsia"/>
                <w:sz w:val="24"/>
              </w:rPr>
              <w:t>，在多个细分领域与海外头部厂商竞争并持续取得突破。公司定位是聚焦行业头部大客户，以对最终结果负责的系统能力推动工业人工智能落地。目前机器视觉行业市场空间约400多亿元，公司以百亿收入为中期发展目标，致力于成为该领域有核心技术、客户导向的领先企业。</w:t>
            </w:r>
          </w:p>
          <w:p w14:paraId="2856AF28">
            <w:pPr>
              <w:pStyle w:val="25"/>
              <w:numPr>
                <w:ilvl w:val="0"/>
                <w:numId w:val="2"/>
              </w:numPr>
              <w:spacing w:after="160" w:line="360" w:lineRule="auto"/>
              <w:ind w:firstLineChars="0"/>
              <w:contextualSpacing/>
              <w:rPr>
                <w:rFonts w:eastAsiaTheme="minorEastAsia"/>
                <w:sz w:val="24"/>
              </w:rPr>
            </w:pPr>
            <w:r>
              <w:rPr>
                <w:rFonts w:eastAsiaTheme="minorEastAsia"/>
                <w:b/>
                <w:bCs/>
                <w:sz w:val="24"/>
              </w:rPr>
              <w:t>市场传闻称谷歌向Polatis下达大额OCS订单且由公司代工生产，是否属实？OCS业务收入贡献及后续展望如何？</w:t>
            </w:r>
          </w:p>
          <w:p w14:paraId="0B39613E">
            <w:pPr>
              <w:spacing w:after="160" w:line="360" w:lineRule="auto"/>
              <w:ind w:firstLine="480" w:firstLineChars="200"/>
              <w:contextualSpacing/>
              <w:rPr>
                <w:rFonts w:eastAsiaTheme="minorEastAsia"/>
                <w:sz w:val="24"/>
              </w:rPr>
            </w:pPr>
            <w:r>
              <w:rPr>
                <w:rFonts w:eastAsiaTheme="minorEastAsia"/>
                <w:sz w:val="24"/>
              </w:rPr>
              <w:t>上述传闻不属实。公司是Polatis在中国及东南亚地区的代理商，负责相关产品的市场培育、销售及客户服务，目前不涉及生产代工。</w:t>
            </w:r>
          </w:p>
          <w:p w14:paraId="423FD6F9">
            <w:pPr>
              <w:spacing w:after="160" w:line="360" w:lineRule="auto"/>
              <w:ind w:firstLine="480" w:firstLineChars="200"/>
              <w:contextualSpacing/>
              <w:rPr>
                <w:rFonts w:eastAsiaTheme="minorEastAsia"/>
                <w:sz w:val="24"/>
              </w:rPr>
            </w:pPr>
            <w:r>
              <w:rPr>
                <w:rFonts w:eastAsiaTheme="minorEastAsia"/>
                <w:sz w:val="24"/>
              </w:rPr>
              <w:t>业务进展方面，OCS</w:t>
            </w:r>
            <w:r>
              <w:rPr>
                <w:rFonts w:hint="eastAsia" w:eastAsiaTheme="minorEastAsia"/>
                <w:sz w:val="24"/>
              </w:rPr>
              <w:t>已经在</w:t>
            </w:r>
            <w:r>
              <w:rPr>
                <w:rFonts w:eastAsiaTheme="minorEastAsia"/>
                <w:sz w:val="24"/>
              </w:rPr>
              <w:t>国内光模块、光器件厂商的自动化测试</w:t>
            </w:r>
            <w:r>
              <w:rPr>
                <w:rFonts w:hint="eastAsia" w:eastAsiaTheme="minorEastAsia"/>
                <w:sz w:val="24"/>
              </w:rPr>
              <w:t>场景实现</w:t>
            </w:r>
            <w:r>
              <w:rPr>
                <w:rFonts w:eastAsiaTheme="minorEastAsia"/>
                <w:sz w:val="24"/>
              </w:rPr>
              <w:t>小批量订单。数据中心规模化应用OCS有赖于网络架构升级，国内市场批量应用尚需时日。</w:t>
            </w:r>
          </w:p>
          <w:p w14:paraId="17FEFA13">
            <w:pPr>
              <w:pStyle w:val="25"/>
              <w:numPr>
                <w:ilvl w:val="0"/>
                <w:numId w:val="2"/>
              </w:numPr>
              <w:spacing w:after="160" w:line="360" w:lineRule="auto"/>
              <w:ind w:firstLineChars="0"/>
              <w:contextualSpacing/>
              <w:rPr>
                <w:rFonts w:eastAsiaTheme="minorEastAsia"/>
                <w:sz w:val="24"/>
              </w:rPr>
            </w:pPr>
            <w:r>
              <w:rPr>
                <w:rFonts w:eastAsiaTheme="minorEastAsia"/>
                <w:b/>
                <w:bCs/>
                <w:sz w:val="24"/>
              </w:rPr>
              <w:t>公司对外投资并购的策略是什么？</w:t>
            </w:r>
          </w:p>
          <w:p w14:paraId="031A15C7">
            <w:pPr>
              <w:spacing w:after="160" w:line="360" w:lineRule="auto"/>
              <w:ind w:firstLine="480" w:firstLineChars="200"/>
              <w:contextualSpacing/>
              <w:rPr>
                <w:rFonts w:eastAsiaTheme="minorEastAsia"/>
                <w:sz w:val="24"/>
              </w:rPr>
            </w:pPr>
            <w:r>
              <w:rPr>
                <w:rFonts w:eastAsiaTheme="minorEastAsia"/>
                <w:sz w:val="24"/>
              </w:rPr>
              <w:t>公司投资始终围绕产业链展开、服务主业，不做纯财务投资，过往对芯片、大模型等领域的投资均体现了产业协同逻辑。下一步将重点关注上游芯片、AI算法、光通信核心器件等方向，不排除适机开展收并购，核心考量是标的公司与公司工业人工智能、</w:t>
            </w:r>
            <w:r>
              <w:rPr>
                <w:rFonts w:hint="eastAsia" w:eastAsiaTheme="minorEastAsia"/>
                <w:sz w:val="24"/>
              </w:rPr>
              <w:t>具身智能、</w:t>
            </w:r>
            <w:r>
              <w:rPr>
                <w:rFonts w:eastAsiaTheme="minorEastAsia"/>
                <w:sz w:val="24"/>
              </w:rPr>
              <w:t>光通信战略版图的协同性。公司也在持续关注半导体检测、先进封装（如</w:t>
            </w:r>
            <w:r>
              <w:rPr>
                <w:rFonts w:hint="eastAsia" w:eastAsiaTheme="minorEastAsia"/>
                <w:sz w:val="24"/>
                <w:lang w:val="en-US" w:eastAsia="zh-CN"/>
              </w:rPr>
              <w:t>代理的</w:t>
            </w:r>
            <w:r>
              <w:rPr>
                <w:rFonts w:eastAsiaTheme="minorEastAsia"/>
                <w:sz w:val="24"/>
              </w:rPr>
              <w:t>TGV玻璃通孔设备，已实现国内首单突破）等下一代技术方向。</w:t>
            </w:r>
          </w:p>
          <w:p w14:paraId="3AFB6B16">
            <w:pPr>
              <w:widowControl/>
              <w:spacing w:after="160" w:line="360" w:lineRule="auto"/>
              <w:ind w:firstLine="480" w:firstLineChars="200"/>
              <w:contextualSpacing/>
              <w:jc w:val="left"/>
              <w:rPr>
                <w:rFonts w:eastAsiaTheme="minorEastAsia"/>
                <w:sz w:val="24"/>
              </w:rPr>
            </w:pPr>
            <w:r>
              <w:rPr>
                <w:rFonts w:ascii="Times New Roman" w:hAnsi="Times New Roman" w:cs="Times New Roman" w:eastAsiaTheme="minorEastAsia"/>
                <w:kern w:val="2"/>
                <w:sz w:val="24"/>
                <w:szCs w:val="24"/>
                <w:lang w:val="en-US" w:eastAsia="zh-CN" w:bidi="ar"/>
              </w:rPr>
              <w:t>上述投资方向及收并购考量系公司战略层面的规划，具体是否实施、实施时点及标的均存在不确定性，后续如有实质性进展，公司将</w:t>
            </w:r>
            <w:r>
              <w:rPr>
                <w:rFonts w:hint="eastAsia" w:cs="Times New Roman" w:eastAsiaTheme="minorEastAsia"/>
                <w:kern w:val="2"/>
                <w:sz w:val="24"/>
                <w:szCs w:val="24"/>
                <w:lang w:val="en-US" w:eastAsia="zh-CN" w:bidi="ar"/>
              </w:rPr>
              <w:t>严格</w:t>
            </w:r>
            <w:r>
              <w:rPr>
                <w:rFonts w:ascii="Times New Roman" w:hAnsi="Times New Roman" w:cs="Times New Roman" w:eastAsiaTheme="minorEastAsia"/>
                <w:kern w:val="2"/>
                <w:sz w:val="24"/>
                <w:szCs w:val="24"/>
                <w:lang w:val="en-US" w:eastAsia="zh-CN" w:bidi="ar"/>
              </w:rPr>
              <w:t>按规定履行信息披露义务。</w:t>
            </w:r>
          </w:p>
          <w:p w14:paraId="28A1B6F6">
            <w:pPr>
              <w:pStyle w:val="25"/>
              <w:numPr>
                <w:ilvl w:val="0"/>
                <w:numId w:val="2"/>
              </w:numPr>
              <w:spacing w:after="160" w:line="360" w:lineRule="auto"/>
              <w:ind w:firstLineChars="0"/>
              <w:contextualSpacing/>
              <w:rPr>
                <w:rFonts w:eastAsiaTheme="minorEastAsia"/>
                <w:sz w:val="24"/>
              </w:rPr>
            </w:pPr>
            <w:r>
              <w:rPr>
                <w:rFonts w:eastAsiaTheme="minorEastAsia"/>
                <w:b/>
                <w:bCs/>
                <w:sz w:val="24"/>
              </w:rPr>
              <w:t>数字人等新业务与现有业务的关系如何？</w:t>
            </w:r>
          </w:p>
          <w:p w14:paraId="3FD839B3">
            <w:pPr>
              <w:spacing w:after="160" w:line="360" w:lineRule="auto"/>
              <w:ind w:firstLine="480" w:firstLineChars="200"/>
              <w:contextualSpacing/>
              <w:rPr>
                <w:rFonts w:eastAsiaTheme="minorEastAsia"/>
                <w:sz w:val="24"/>
              </w:rPr>
            </w:pPr>
            <w:r>
              <w:rPr>
                <w:rFonts w:eastAsiaTheme="minorEastAsia"/>
                <w:sz w:val="24"/>
              </w:rPr>
              <w:t>公司现有业务以</w:t>
            </w:r>
            <w:r>
              <w:rPr>
                <w:rFonts w:hint="eastAsia" w:eastAsiaTheme="minorEastAsia"/>
                <w:sz w:val="24"/>
              </w:rPr>
              <w:t>“</w:t>
            </w:r>
            <w:r>
              <w:rPr>
                <w:rFonts w:eastAsiaTheme="minorEastAsia"/>
                <w:sz w:val="24"/>
              </w:rPr>
              <w:t>视觉+AI</w:t>
            </w:r>
            <w:r>
              <w:rPr>
                <w:rFonts w:hint="eastAsia" w:eastAsiaTheme="minorEastAsia"/>
                <w:sz w:val="24"/>
              </w:rPr>
              <w:t>”</w:t>
            </w:r>
            <w:r>
              <w:rPr>
                <w:rFonts w:eastAsiaTheme="minorEastAsia"/>
                <w:sz w:val="24"/>
              </w:rPr>
              <w:t>为主线，机器视觉板块面向消费电子、印刷包装、新能源、半导体等工业场景，提供可配置视觉系统与智能视觉装备。数字人相关业务相对独立，技术上依托公司在机器视觉领域长期积累的三维重建、动作捕捉、视觉内容制作等能力，面向文化、传媒、营销等内容创意场景，是公司视觉能力从工业场景向内容场景的延伸。未来，公司将积极探索与头部互联网平台企业的战略合作，拓展 3D 内容、数字人等应用场景的商业化机会，推动新业务与主业协同发展。</w:t>
            </w:r>
          </w:p>
        </w:tc>
      </w:tr>
      <w:tr w14:paraId="2858CF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39" w:hRule="atLeast"/>
        </w:trPr>
        <w:tc>
          <w:tcPr>
            <w:tcW w:w="1550" w:type="dxa"/>
            <w:vAlign w:val="center"/>
          </w:tcPr>
          <w:p w14:paraId="238C6F42">
            <w:pPr>
              <w:spacing w:line="540" w:lineRule="exact"/>
              <w:jc w:val="center"/>
              <w:rPr>
                <w:rFonts w:hint="eastAsia" w:cs="宋体" w:asciiTheme="minorEastAsia" w:hAnsiTheme="minorEastAsia" w:eastAsiaTheme="minorEastAsia"/>
                <w:sz w:val="24"/>
              </w:rPr>
            </w:pPr>
            <w:r>
              <w:rPr>
                <w:rFonts w:hint="eastAsia" w:cs="宋体" w:asciiTheme="minorEastAsia" w:hAnsiTheme="minorEastAsia" w:eastAsiaTheme="minorEastAsia"/>
                <w:sz w:val="24"/>
              </w:rPr>
              <w:t>附件清单</w:t>
            </w:r>
          </w:p>
          <w:p w14:paraId="5D94F1CB">
            <w:pPr>
              <w:spacing w:line="540" w:lineRule="exact"/>
              <w:jc w:val="center"/>
              <w:rPr>
                <w:rFonts w:hint="eastAsia" w:asciiTheme="minorEastAsia" w:hAnsiTheme="minorEastAsia" w:eastAsiaTheme="minorEastAsia"/>
                <w:sz w:val="24"/>
              </w:rPr>
            </w:pPr>
            <w:r>
              <w:rPr>
                <w:rFonts w:hint="eastAsia" w:cs="宋体" w:asciiTheme="minorEastAsia" w:hAnsiTheme="minorEastAsia" w:eastAsiaTheme="minorEastAsia"/>
                <w:sz w:val="24"/>
              </w:rPr>
              <w:t>（如有）</w:t>
            </w:r>
          </w:p>
        </w:tc>
        <w:tc>
          <w:tcPr>
            <w:tcW w:w="8079" w:type="dxa"/>
            <w:vAlign w:val="center"/>
          </w:tcPr>
          <w:p w14:paraId="360CE924">
            <w:pPr>
              <w:spacing w:line="540" w:lineRule="exact"/>
              <w:jc w:val="left"/>
              <w:rPr>
                <w:rFonts w:eastAsiaTheme="minorEastAsia"/>
                <w:sz w:val="24"/>
              </w:rPr>
            </w:pPr>
            <w:r>
              <w:rPr>
                <w:rFonts w:hint="eastAsia" w:eastAsiaTheme="minorEastAsia"/>
                <w:sz w:val="24"/>
              </w:rPr>
              <w:t>无</w:t>
            </w:r>
          </w:p>
        </w:tc>
      </w:tr>
    </w:tbl>
    <w:p w14:paraId="721323BC">
      <w:pPr>
        <w:spacing w:line="20" w:lineRule="exact"/>
        <w:jc w:val="left"/>
        <w:rPr>
          <w:rFonts w:hint="eastAsia" w:asciiTheme="minorEastAsia" w:hAnsiTheme="minorEastAsia" w:eastAsiaTheme="minorEastAsia"/>
          <w:sz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1" w:fontKey="{6B36438F-7957-4438-A377-50DE241D49A5}"/>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5D2E2C"/>
    <w:multiLevelType w:val="multilevel"/>
    <w:tmpl w:val="305D2E2C"/>
    <w:lvl w:ilvl="0" w:tentative="0">
      <w:start w:val="1"/>
      <w:numFmt w:val="japaneseCounting"/>
      <w:lvlText w:val="%1、"/>
      <w:lvlJc w:val="left"/>
      <w:pPr>
        <w:ind w:left="500" w:hanging="50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506C0333"/>
    <w:multiLevelType w:val="multilevel"/>
    <w:tmpl w:val="506C033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RjNGMyNTRkZWMyOWQ1MDgxZTcxNjE1YjJlZjdkOWEifQ=="/>
  </w:docVars>
  <w:rsids>
    <w:rsidRoot w:val="00955ED9"/>
    <w:rsid w:val="00000A41"/>
    <w:rsid w:val="000015E7"/>
    <w:rsid w:val="00003577"/>
    <w:rsid w:val="0000396A"/>
    <w:rsid w:val="000042DB"/>
    <w:rsid w:val="0000490E"/>
    <w:rsid w:val="00005402"/>
    <w:rsid w:val="00005575"/>
    <w:rsid w:val="000108BD"/>
    <w:rsid w:val="00012A19"/>
    <w:rsid w:val="000165C6"/>
    <w:rsid w:val="000200C0"/>
    <w:rsid w:val="00020194"/>
    <w:rsid w:val="00020F2E"/>
    <w:rsid w:val="00022936"/>
    <w:rsid w:val="00022D30"/>
    <w:rsid w:val="00027F63"/>
    <w:rsid w:val="00030045"/>
    <w:rsid w:val="00031132"/>
    <w:rsid w:val="00033514"/>
    <w:rsid w:val="00033C32"/>
    <w:rsid w:val="00035967"/>
    <w:rsid w:val="000371C6"/>
    <w:rsid w:val="0003777A"/>
    <w:rsid w:val="00040332"/>
    <w:rsid w:val="00040579"/>
    <w:rsid w:val="00040717"/>
    <w:rsid w:val="00040756"/>
    <w:rsid w:val="00040EA1"/>
    <w:rsid w:val="0004182B"/>
    <w:rsid w:val="00041BED"/>
    <w:rsid w:val="00041F37"/>
    <w:rsid w:val="000449F1"/>
    <w:rsid w:val="00044ECD"/>
    <w:rsid w:val="00045340"/>
    <w:rsid w:val="000459A9"/>
    <w:rsid w:val="00050045"/>
    <w:rsid w:val="00050446"/>
    <w:rsid w:val="0005105E"/>
    <w:rsid w:val="000513CF"/>
    <w:rsid w:val="00051BB6"/>
    <w:rsid w:val="000529B1"/>
    <w:rsid w:val="00052EC1"/>
    <w:rsid w:val="0005310C"/>
    <w:rsid w:val="0005348A"/>
    <w:rsid w:val="000545E3"/>
    <w:rsid w:val="00056B22"/>
    <w:rsid w:val="00060077"/>
    <w:rsid w:val="00061D23"/>
    <w:rsid w:val="00062098"/>
    <w:rsid w:val="0006239E"/>
    <w:rsid w:val="00063345"/>
    <w:rsid w:val="00066C12"/>
    <w:rsid w:val="00067488"/>
    <w:rsid w:val="00070B30"/>
    <w:rsid w:val="00073E3E"/>
    <w:rsid w:val="0007514E"/>
    <w:rsid w:val="00075B67"/>
    <w:rsid w:val="00075EE2"/>
    <w:rsid w:val="000764A8"/>
    <w:rsid w:val="0008094F"/>
    <w:rsid w:val="00080A81"/>
    <w:rsid w:val="00081076"/>
    <w:rsid w:val="00081B9A"/>
    <w:rsid w:val="000830BB"/>
    <w:rsid w:val="00083AF6"/>
    <w:rsid w:val="00084C11"/>
    <w:rsid w:val="00085CB3"/>
    <w:rsid w:val="00085F9D"/>
    <w:rsid w:val="00090FFE"/>
    <w:rsid w:val="000922A9"/>
    <w:rsid w:val="00093624"/>
    <w:rsid w:val="000940BD"/>
    <w:rsid w:val="000958B6"/>
    <w:rsid w:val="0009780D"/>
    <w:rsid w:val="00097ACD"/>
    <w:rsid w:val="00097C79"/>
    <w:rsid w:val="000A08A7"/>
    <w:rsid w:val="000A358D"/>
    <w:rsid w:val="000A55F0"/>
    <w:rsid w:val="000A6B35"/>
    <w:rsid w:val="000A77E0"/>
    <w:rsid w:val="000B1157"/>
    <w:rsid w:val="000B2173"/>
    <w:rsid w:val="000B2C19"/>
    <w:rsid w:val="000C411B"/>
    <w:rsid w:val="000C6D45"/>
    <w:rsid w:val="000D00D7"/>
    <w:rsid w:val="000D1DD3"/>
    <w:rsid w:val="000D5002"/>
    <w:rsid w:val="000D5008"/>
    <w:rsid w:val="000D6A1D"/>
    <w:rsid w:val="000D7057"/>
    <w:rsid w:val="000E0BD9"/>
    <w:rsid w:val="000E1FED"/>
    <w:rsid w:val="000E3131"/>
    <w:rsid w:val="000E384E"/>
    <w:rsid w:val="000E486E"/>
    <w:rsid w:val="000E59D3"/>
    <w:rsid w:val="000E5A03"/>
    <w:rsid w:val="000E5A36"/>
    <w:rsid w:val="000F0371"/>
    <w:rsid w:val="000F0A30"/>
    <w:rsid w:val="000F0D33"/>
    <w:rsid w:val="000F16A1"/>
    <w:rsid w:val="000F2027"/>
    <w:rsid w:val="000F240D"/>
    <w:rsid w:val="000F39C5"/>
    <w:rsid w:val="000F3DBA"/>
    <w:rsid w:val="000F3F45"/>
    <w:rsid w:val="000F4EC2"/>
    <w:rsid w:val="000F531D"/>
    <w:rsid w:val="000F7613"/>
    <w:rsid w:val="00101BF9"/>
    <w:rsid w:val="0010238B"/>
    <w:rsid w:val="0010245D"/>
    <w:rsid w:val="00103084"/>
    <w:rsid w:val="001040A1"/>
    <w:rsid w:val="00105786"/>
    <w:rsid w:val="00105829"/>
    <w:rsid w:val="001059F8"/>
    <w:rsid w:val="001069B7"/>
    <w:rsid w:val="0010785B"/>
    <w:rsid w:val="00113649"/>
    <w:rsid w:val="00114052"/>
    <w:rsid w:val="00114A5F"/>
    <w:rsid w:val="00114D7F"/>
    <w:rsid w:val="00115032"/>
    <w:rsid w:val="00115FFC"/>
    <w:rsid w:val="001161B6"/>
    <w:rsid w:val="001173CE"/>
    <w:rsid w:val="001214CF"/>
    <w:rsid w:val="00123336"/>
    <w:rsid w:val="0012682A"/>
    <w:rsid w:val="0012703A"/>
    <w:rsid w:val="00132441"/>
    <w:rsid w:val="00133CEE"/>
    <w:rsid w:val="00133CFC"/>
    <w:rsid w:val="00133E94"/>
    <w:rsid w:val="001368B3"/>
    <w:rsid w:val="001407F8"/>
    <w:rsid w:val="0014205E"/>
    <w:rsid w:val="001428C3"/>
    <w:rsid w:val="00142E91"/>
    <w:rsid w:val="0014394F"/>
    <w:rsid w:val="001440C1"/>
    <w:rsid w:val="00144DAB"/>
    <w:rsid w:val="001451CF"/>
    <w:rsid w:val="00145681"/>
    <w:rsid w:val="001519DF"/>
    <w:rsid w:val="00151E5F"/>
    <w:rsid w:val="0015428B"/>
    <w:rsid w:val="00157DD5"/>
    <w:rsid w:val="00157EDB"/>
    <w:rsid w:val="00160101"/>
    <w:rsid w:val="00160B0C"/>
    <w:rsid w:val="00161527"/>
    <w:rsid w:val="001616D0"/>
    <w:rsid w:val="0016255C"/>
    <w:rsid w:val="00162CB4"/>
    <w:rsid w:val="0016470B"/>
    <w:rsid w:val="0016593F"/>
    <w:rsid w:val="001705D8"/>
    <w:rsid w:val="001712FD"/>
    <w:rsid w:val="00176298"/>
    <w:rsid w:val="0017709E"/>
    <w:rsid w:val="001807B2"/>
    <w:rsid w:val="00184149"/>
    <w:rsid w:val="00184826"/>
    <w:rsid w:val="001872C2"/>
    <w:rsid w:val="00191390"/>
    <w:rsid w:val="0019141F"/>
    <w:rsid w:val="00191F80"/>
    <w:rsid w:val="0019274A"/>
    <w:rsid w:val="00192E13"/>
    <w:rsid w:val="00193FA9"/>
    <w:rsid w:val="00194F8B"/>
    <w:rsid w:val="001959D1"/>
    <w:rsid w:val="001959E1"/>
    <w:rsid w:val="001A193C"/>
    <w:rsid w:val="001A2295"/>
    <w:rsid w:val="001A519B"/>
    <w:rsid w:val="001B0143"/>
    <w:rsid w:val="001B090B"/>
    <w:rsid w:val="001B1BB4"/>
    <w:rsid w:val="001B5768"/>
    <w:rsid w:val="001B5FDF"/>
    <w:rsid w:val="001B6AD0"/>
    <w:rsid w:val="001B6B9E"/>
    <w:rsid w:val="001C4757"/>
    <w:rsid w:val="001C5BFE"/>
    <w:rsid w:val="001C6275"/>
    <w:rsid w:val="001C71C8"/>
    <w:rsid w:val="001C7C8C"/>
    <w:rsid w:val="001D04E7"/>
    <w:rsid w:val="001D0BA7"/>
    <w:rsid w:val="001D1292"/>
    <w:rsid w:val="001D4040"/>
    <w:rsid w:val="001D4AFD"/>
    <w:rsid w:val="001D6FE1"/>
    <w:rsid w:val="001D75ED"/>
    <w:rsid w:val="001E20AB"/>
    <w:rsid w:val="001E4FDC"/>
    <w:rsid w:val="001E57B0"/>
    <w:rsid w:val="001E7A14"/>
    <w:rsid w:val="001E7D3F"/>
    <w:rsid w:val="001F01CE"/>
    <w:rsid w:val="001F0288"/>
    <w:rsid w:val="001F14F0"/>
    <w:rsid w:val="001F35F3"/>
    <w:rsid w:val="001F4EC8"/>
    <w:rsid w:val="001F510D"/>
    <w:rsid w:val="001F6EE8"/>
    <w:rsid w:val="00200219"/>
    <w:rsid w:val="0020087E"/>
    <w:rsid w:val="00200E6D"/>
    <w:rsid w:val="00202256"/>
    <w:rsid w:val="00204A01"/>
    <w:rsid w:val="0020601F"/>
    <w:rsid w:val="002077CF"/>
    <w:rsid w:val="00207843"/>
    <w:rsid w:val="00211335"/>
    <w:rsid w:val="00212AA0"/>
    <w:rsid w:val="00214BAA"/>
    <w:rsid w:val="0021583F"/>
    <w:rsid w:val="00215D5D"/>
    <w:rsid w:val="00216948"/>
    <w:rsid w:val="00217BE5"/>
    <w:rsid w:val="00220618"/>
    <w:rsid w:val="00221C7C"/>
    <w:rsid w:val="00222536"/>
    <w:rsid w:val="002232B7"/>
    <w:rsid w:val="00224B9A"/>
    <w:rsid w:val="00225231"/>
    <w:rsid w:val="00227A3A"/>
    <w:rsid w:val="00231039"/>
    <w:rsid w:val="00231DD7"/>
    <w:rsid w:val="00232AF8"/>
    <w:rsid w:val="00234A28"/>
    <w:rsid w:val="00234E85"/>
    <w:rsid w:val="002370E0"/>
    <w:rsid w:val="00237319"/>
    <w:rsid w:val="0024263D"/>
    <w:rsid w:val="002430B4"/>
    <w:rsid w:val="00244086"/>
    <w:rsid w:val="002446C3"/>
    <w:rsid w:val="002457DD"/>
    <w:rsid w:val="00247A9F"/>
    <w:rsid w:val="00251227"/>
    <w:rsid w:val="00253C5A"/>
    <w:rsid w:val="00254085"/>
    <w:rsid w:val="00254BB5"/>
    <w:rsid w:val="00255DBC"/>
    <w:rsid w:val="00260730"/>
    <w:rsid w:val="00270CE2"/>
    <w:rsid w:val="00270D1A"/>
    <w:rsid w:val="00270F09"/>
    <w:rsid w:val="00272E54"/>
    <w:rsid w:val="00274CD1"/>
    <w:rsid w:val="00277128"/>
    <w:rsid w:val="002831BE"/>
    <w:rsid w:val="00283665"/>
    <w:rsid w:val="00284774"/>
    <w:rsid w:val="002848F2"/>
    <w:rsid w:val="0028563F"/>
    <w:rsid w:val="00285F3A"/>
    <w:rsid w:val="002876F0"/>
    <w:rsid w:val="00287BF2"/>
    <w:rsid w:val="00290553"/>
    <w:rsid w:val="002907EE"/>
    <w:rsid w:val="00290E3F"/>
    <w:rsid w:val="0029155C"/>
    <w:rsid w:val="0029415F"/>
    <w:rsid w:val="00295CDD"/>
    <w:rsid w:val="002960DC"/>
    <w:rsid w:val="00296D08"/>
    <w:rsid w:val="002A0033"/>
    <w:rsid w:val="002A2DFB"/>
    <w:rsid w:val="002A4C90"/>
    <w:rsid w:val="002A6251"/>
    <w:rsid w:val="002A68DA"/>
    <w:rsid w:val="002B20C4"/>
    <w:rsid w:val="002B2504"/>
    <w:rsid w:val="002B7AFF"/>
    <w:rsid w:val="002C1A06"/>
    <w:rsid w:val="002C2049"/>
    <w:rsid w:val="002C2957"/>
    <w:rsid w:val="002C4A67"/>
    <w:rsid w:val="002C6FA3"/>
    <w:rsid w:val="002D0721"/>
    <w:rsid w:val="002D15C0"/>
    <w:rsid w:val="002D32C7"/>
    <w:rsid w:val="002D4F2F"/>
    <w:rsid w:val="002D60C9"/>
    <w:rsid w:val="002D78BB"/>
    <w:rsid w:val="002E0964"/>
    <w:rsid w:val="002E13A4"/>
    <w:rsid w:val="002E2994"/>
    <w:rsid w:val="002E2F0C"/>
    <w:rsid w:val="002E3587"/>
    <w:rsid w:val="002E4FE8"/>
    <w:rsid w:val="002E60C1"/>
    <w:rsid w:val="002E773E"/>
    <w:rsid w:val="002E7E11"/>
    <w:rsid w:val="002F2765"/>
    <w:rsid w:val="002F2CE0"/>
    <w:rsid w:val="002F3A1A"/>
    <w:rsid w:val="002F4DA6"/>
    <w:rsid w:val="002F4EF9"/>
    <w:rsid w:val="002F59CA"/>
    <w:rsid w:val="002F6292"/>
    <w:rsid w:val="003006A3"/>
    <w:rsid w:val="00301FAA"/>
    <w:rsid w:val="00303425"/>
    <w:rsid w:val="003035DD"/>
    <w:rsid w:val="003036FD"/>
    <w:rsid w:val="0030393C"/>
    <w:rsid w:val="00303BBD"/>
    <w:rsid w:val="0030427E"/>
    <w:rsid w:val="00304C33"/>
    <w:rsid w:val="00310851"/>
    <w:rsid w:val="00313A5A"/>
    <w:rsid w:val="003153D2"/>
    <w:rsid w:val="00316F85"/>
    <w:rsid w:val="00317C34"/>
    <w:rsid w:val="00320A63"/>
    <w:rsid w:val="003227A5"/>
    <w:rsid w:val="003230FB"/>
    <w:rsid w:val="00323B7B"/>
    <w:rsid w:val="00324BD7"/>
    <w:rsid w:val="00325471"/>
    <w:rsid w:val="00325D16"/>
    <w:rsid w:val="00326B7A"/>
    <w:rsid w:val="0032761C"/>
    <w:rsid w:val="00333577"/>
    <w:rsid w:val="00334519"/>
    <w:rsid w:val="00334841"/>
    <w:rsid w:val="003363C8"/>
    <w:rsid w:val="00337BD1"/>
    <w:rsid w:val="00341B6A"/>
    <w:rsid w:val="00341F44"/>
    <w:rsid w:val="003431A1"/>
    <w:rsid w:val="00345748"/>
    <w:rsid w:val="00345931"/>
    <w:rsid w:val="00345F02"/>
    <w:rsid w:val="00345F40"/>
    <w:rsid w:val="003464F5"/>
    <w:rsid w:val="003510E5"/>
    <w:rsid w:val="00351CCE"/>
    <w:rsid w:val="00351CD3"/>
    <w:rsid w:val="00352245"/>
    <w:rsid w:val="0035417B"/>
    <w:rsid w:val="00354D2E"/>
    <w:rsid w:val="00355C67"/>
    <w:rsid w:val="003563D8"/>
    <w:rsid w:val="00356857"/>
    <w:rsid w:val="00357E0C"/>
    <w:rsid w:val="003602A3"/>
    <w:rsid w:val="003621B9"/>
    <w:rsid w:val="00367AFC"/>
    <w:rsid w:val="003701AC"/>
    <w:rsid w:val="00371000"/>
    <w:rsid w:val="00371257"/>
    <w:rsid w:val="00372648"/>
    <w:rsid w:val="00372924"/>
    <w:rsid w:val="00373844"/>
    <w:rsid w:val="00373B1F"/>
    <w:rsid w:val="00373EB5"/>
    <w:rsid w:val="00375F5B"/>
    <w:rsid w:val="00381527"/>
    <w:rsid w:val="0038179F"/>
    <w:rsid w:val="003820E1"/>
    <w:rsid w:val="00383300"/>
    <w:rsid w:val="003844F8"/>
    <w:rsid w:val="00384D2F"/>
    <w:rsid w:val="00385F1A"/>
    <w:rsid w:val="00386EC5"/>
    <w:rsid w:val="00387483"/>
    <w:rsid w:val="00387A40"/>
    <w:rsid w:val="003905C0"/>
    <w:rsid w:val="0039151A"/>
    <w:rsid w:val="0039232B"/>
    <w:rsid w:val="00397B26"/>
    <w:rsid w:val="003A0914"/>
    <w:rsid w:val="003A0FC0"/>
    <w:rsid w:val="003A371A"/>
    <w:rsid w:val="003A3849"/>
    <w:rsid w:val="003A389A"/>
    <w:rsid w:val="003A4190"/>
    <w:rsid w:val="003A4FDA"/>
    <w:rsid w:val="003A60F0"/>
    <w:rsid w:val="003A73E0"/>
    <w:rsid w:val="003A7982"/>
    <w:rsid w:val="003A7CCE"/>
    <w:rsid w:val="003B1EBB"/>
    <w:rsid w:val="003B4781"/>
    <w:rsid w:val="003B481E"/>
    <w:rsid w:val="003B5E8B"/>
    <w:rsid w:val="003B6050"/>
    <w:rsid w:val="003B7DE2"/>
    <w:rsid w:val="003C569F"/>
    <w:rsid w:val="003C618D"/>
    <w:rsid w:val="003D0ACE"/>
    <w:rsid w:val="003D11AA"/>
    <w:rsid w:val="003D1488"/>
    <w:rsid w:val="003D1CAE"/>
    <w:rsid w:val="003D1D8F"/>
    <w:rsid w:val="003D1E9F"/>
    <w:rsid w:val="003D1F76"/>
    <w:rsid w:val="003D3C52"/>
    <w:rsid w:val="003D4990"/>
    <w:rsid w:val="003D4EB4"/>
    <w:rsid w:val="003D61DD"/>
    <w:rsid w:val="003D74CC"/>
    <w:rsid w:val="003D756F"/>
    <w:rsid w:val="003E2B03"/>
    <w:rsid w:val="003E2B23"/>
    <w:rsid w:val="003E548B"/>
    <w:rsid w:val="003E614A"/>
    <w:rsid w:val="003E6241"/>
    <w:rsid w:val="003E632C"/>
    <w:rsid w:val="003E798B"/>
    <w:rsid w:val="003E7BDA"/>
    <w:rsid w:val="003F066A"/>
    <w:rsid w:val="003F36FF"/>
    <w:rsid w:val="003F3748"/>
    <w:rsid w:val="003F37B5"/>
    <w:rsid w:val="003F6338"/>
    <w:rsid w:val="003F7443"/>
    <w:rsid w:val="00402C40"/>
    <w:rsid w:val="00403155"/>
    <w:rsid w:val="004051E9"/>
    <w:rsid w:val="00405D37"/>
    <w:rsid w:val="00406438"/>
    <w:rsid w:val="00412089"/>
    <w:rsid w:val="00412743"/>
    <w:rsid w:val="004151DC"/>
    <w:rsid w:val="0042066D"/>
    <w:rsid w:val="004206B4"/>
    <w:rsid w:val="004225D2"/>
    <w:rsid w:val="00423C6D"/>
    <w:rsid w:val="00423E52"/>
    <w:rsid w:val="0043063D"/>
    <w:rsid w:val="00430AC0"/>
    <w:rsid w:val="0043139F"/>
    <w:rsid w:val="00431BAE"/>
    <w:rsid w:val="00431DE4"/>
    <w:rsid w:val="00432928"/>
    <w:rsid w:val="00433D66"/>
    <w:rsid w:val="00433E35"/>
    <w:rsid w:val="00434B27"/>
    <w:rsid w:val="00437972"/>
    <w:rsid w:val="00437B5C"/>
    <w:rsid w:val="00440575"/>
    <w:rsid w:val="0044146A"/>
    <w:rsid w:val="00441AA7"/>
    <w:rsid w:val="00450534"/>
    <w:rsid w:val="0045128F"/>
    <w:rsid w:val="004528D4"/>
    <w:rsid w:val="00453F29"/>
    <w:rsid w:val="00454EB3"/>
    <w:rsid w:val="00460F37"/>
    <w:rsid w:val="004637CF"/>
    <w:rsid w:val="00463B3A"/>
    <w:rsid w:val="00463FF6"/>
    <w:rsid w:val="004640B3"/>
    <w:rsid w:val="004644C9"/>
    <w:rsid w:val="00464CF3"/>
    <w:rsid w:val="004654E2"/>
    <w:rsid w:val="00466379"/>
    <w:rsid w:val="00467F46"/>
    <w:rsid w:val="00470B7C"/>
    <w:rsid w:val="00470FD7"/>
    <w:rsid w:val="00473155"/>
    <w:rsid w:val="0047388A"/>
    <w:rsid w:val="004743CF"/>
    <w:rsid w:val="00475B98"/>
    <w:rsid w:val="00475BEB"/>
    <w:rsid w:val="004765DB"/>
    <w:rsid w:val="00476EA5"/>
    <w:rsid w:val="00477818"/>
    <w:rsid w:val="00481406"/>
    <w:rsid w:val="00481DEF"/>
    <w:rsid w:val="00482973"/>
    <w:rsid w:val="00483F21"/>
    <w:rsid w:val="00485C16"/>
    <w:rsid w:val="00486D80"/>
    <w:rsid w:val="004871EB"/>
    <w:rsid w:val="0049063C"/>
    <w:rsid w:val="00490CFB"/>
    <w:rsid w:val="0049173A"/>
    <w:rsid w:val="00493D86"/>
    <w:rsid w:val="00494DF1"/>
    <w:rsid w:val="00497F1B"/>
    <w:rsid w:val="004A14AB"/>
    <w:rsid w:val="004A3D9B"/>
    <w:rsid w:val="004A4000"/>
    <w:rsid w:val="004A576F"/>
    <w:rsid w:val="004A5A71"/>
    <w:rsid w:val="004A5DFA"/>
    <w:rsid w:val="004B0AE6"/>
    <w:rsid w:val="004B1328"/>
    <w:rsid w:val="004B237A"/>
    <w:rsid w:val="004B27F0"/>
    <w:rsid w:val="004B2ADA"/>
    <w:rsid w:val="004B31A7"/>
    <w:rsid w:val="004B6C1D"/>
    <w:rsid w:val="004B6D8E"/>
    <w:rsid w:val="004C0EB9"/>
    <w:rsid w:val="004C1E1C"/>
    <w:rsid w:val="004C484A"/>
    <w:rsid w:val="004C4DC1"/>
    <w:rsid w:val="004C5E6F"/>
    <w:rsid w:val="004C6ABD"/>
    <w:rsid w:val="004C6BBB"/>
    <w:rsid w:val="004C7E35"/>
    <w:rsid w:val="004D02BE"/>
    <w:rsid w:val="004D6CA1"/>
    <w:rsid w:val="004D7032"/>
    <w:rsid w:val="004D7983"/>
    <w:rsid w:val="004E084E"/>
    <w:rsid w:val="004E2B54"/>
    <w:rsid w:val="004E4528"/>
    <w:rsid w:val="004E6075"/>
    <w:rsid w:val="004E6DB7"/>
    <w:rsid w:val="004E7B13"/>
    <w:rsid w:val="004F10B1"/>
    <w:rsid w:val="004F37CE"/>
    <w:rsid w:val="004F402A"/>
    <w:rsid w:val="004F4749"/>
    <w:rsid w:val="004F4FD9"/>
    <w:rsid w:val="004F54C7"/>
    <w:rsid w:val="004F7809"/>
    <w:rsid w:val="0050049B"/>
    <w:rsid w:val="00500D40"/>
    <w:rsid w:val="00501BA9"/>
    <w:rsid w:val="00502632"/>
    <w:rsid w:val="00505E11"/>
    <w:rsid w:val="00506C31"/>
    <w:rsid w:val="00511574"/>
    <w:rsid w:val="00511909"/>
    <w:rsid w:val="00513BE5"/>
    <w:rsid w:val="00513CCD"/>
    <w:rsid w:val="00513EE0"/>
    <w:rsid w:val="0051442A"/>
    <w:rsid w:val="0051584C"/>
    <w:rsid w:val="00515B3C"/>
    <w:rsid w:val="005164DF"/>
    <w:rsid w:val="005169CF"/>
    <w:rsid w:val="0052130F"/>
    <w:rsid w:val="00522BEC"/>
    <w:rsid w:val="005234C1"/>
    <w:rsid w:val="00523A6C"/>
    <w:rsid w:val="00523EB3"/>
    <w:rsid w:val="00524F69"/>
    <w:rsid w:val="00526C7F"/>
    <w:rsid w:val="005301BD"/>
    <w:rsid w:val="005302BF"/>
    <w:rsid w:val="00532333"/>
    <w:rsid w:val="00535A14"/>
    <w:rsid w:val="00536B70"/>
    <w:rsid w:val="00536BE3"/>
    <w:rsid w:val="00537353"/>
    <w:rsid w:val="00540835"/>
    <w:rsid w:val="00542B39"/>
    <w:rsid w:val="00542D93"/>
    <w:rsid w:val="00547C18"/>
    <w:rsid w:val="00550BD4"/>
    <w:rsid w:val="00552308"/>
    <w:rsid w:val="0055667E"/>
    <w:rsid w:val="00556FB4"/>
    <w:rsid w:val="005574D9"/>
    <w:rsid w:val="00563FC4"/>
    <w:rsid w:val="00564641"/>
    <w:rsid w:val="00564BAF"/>
    <w:rsid w:val="00570DB2"/>
    <w:rsid w:val="00570E54"/>
    <w:rsid w:val="00571AA2"/>
    <w:rsid w:val="00573916"/>
    <w:rsid w:val="00574B7B"/>
    <w:rsid w:val="00577006"/>
    <w:rsid w:val="00580350"/>
    <w:rsid w:val="0058154C"/>
    <w:rsid w:val="0058248B"/>
    <w:rsid w:val="00584B46"/>
    <w:rsid w:val="005856E9"/>
    <w:rsid w:val="00585E34"/>
    <w:rsid w:val="00590269"/>
    <w:rsid w:val="00590B2D"/>
    <w:rsid w:val="00590C65"/>
    <w:rsid w:val="00593215"/>
    <w:rsid w:val="00594D7E"/>
    <w:rsid w:val="00596347"/>
    <w:rsid w:val="00596C1E"/>
    <w:rsid w:val="005975AA"/>
    <w:rsid w:val="005A0A06"/>
    <w:rsid w:val="005A2047"/>
    <w:rsid w:val="005A2DC1"/>
    <w:rsid w:val="005A327E"/>
    <w:rsid w:val="005A38EF"/>
    <w:rsid w:val="005A4B37"/>
    <w:rsid w:val="005A5E54"/>
    <w:rsid w:val="005A63C6"/>
    <w:rsid w:val="005A7270"/>
    <w:rsid w:val="005B0107"/>
    <w:rsid w:val="005B2B1F"/>
    <w:rsid w:val="005B405F"/>
    <w:rsid w:val="005B61DF"/>
    <w:rsid w:val="005B63DC"/>
    <w:rsid w:val="005B7A79"/>
    <w:rsid w:val="005B7C49"/>
    <w:rsid w:val="005C0C8B"/>
    <w:rsid w:val="005C1718"/>
    <w:rsid w:val="005C1721"/>
    <w:rsid w:val="005C42A1"/>
    <w:rsid w:val="005C5D7C"/>
    <w:rsid w:val="005C6ADF"/>
    <w:rsid w:val="005C756D"/>
    <w:rsid w:val="005C776E"/>
    <w:rsid w:val="005C7DEB"/>
    <w:rsid w:val="005D0359"/>
    <w:rsid w:val="005D04CC"/>
    <w:rsid w:val="005D3063"/>
    <w:rsid w:val="005D5ECA"/>
    <w:rsid w:val="005E0353"/>
    <w:rsid w:val="005E3BED"/>
    <w:rsid w:val="005E4621"/>
    <w:rsid w:val="005E4816"/>
    <w:rsid w:val="005E635A"/>
    <w:rsid w:val="005F075A"/>
    <w:rsid w:val="005F0D0D"/>
    <w:rsid w:val="005F1AF1"/>
    <w:rsid w:val="005F2B76"/>
    <w:rsid w:val="005F30D5"/>
    <w:rsid w:val="005F57B2"/>
    <w:rsid w:val="00600FD4"/>
    <w:rsid w:val="00601E5C"/>
    <w:rsid w:val="0060257A"/>
    <w:rsid w:val="00602A8D"/>
    <w:rsid w:val="00603B2E"/>
    <w:rsid w:val="00604309"/>
    <w:rsid w:val="00610A40"/>
    <w:rsid w:val="006113ED"/>
    <w:rsid w:val="00611636"/>
    <w:rsid w:val="006118CA"/>
    <w:rsid w:val="00613E75"/>
    <w:rsid w:val="00614C39"/>
    <w:rsid w:val="00614D4D"/>
    <w:rsid w:val="0061690A"/>
    <w:rsid w:val="006176C0"/>
    <w:rsid w:val="006179F1"/>
    <w:rsid w:val="00617E1C"/>
    <w:rsid w:val="00620CF7"/>
    <w:rsid w:val="0062172F"/>
    <w:rsid w:val="00621AD0"/>
    <w:rsid w:val="00621B69"/>
    <w:rsid w:val="0062224A"/>
    <w:rsid w:val="00622D48"/>
    <w:rsid w:val="00624752"/>
    <w:rsid w:val="00624BA9"/>
    <w:rsid w:val="00624DF2"/>
    <w:rsid w:val="00626A15"/>
    <w:rsid w:val="00626CBA"/>
    <w:rsid w:val="00627689"/>
    <w:rsid w:val="006304BE"/>
    <w:rsid w:val="00632FD5"/>
    <w:rsid w:val="00634A54"/>
    <w:rsid w:val="006360B2"/>
    <w:rsid w:val="00636F51"/>
    <w:rsid w:val="006375DC"/>
    <w:rsid w:val="00637B1C"/>
    <w:rsid w:val="006456F3"/>
    <w:rsid w:val="00646603"/>
    <w:rsid w:val="00646D8A"/>
    <w:rsid w:val="00651044"/>
    <w:rsid w:val="006515FD"/>
    <w:rsid w:val="00651AD9"/>
    <w:rsid w:val="006524AC"/>
    <w:rsid w:val="00653C06"/>
    <w:rsid w:val="00653F2A"/>
    <w:rsid w:val="00654BA7"/>
    <w:rsid w:val="00656F62"/>
    <w:rsid w:val="0065750D"/>
    <w:rsid w:val="00662233"/>
    <w:rsid w:val="00662610"/>
    <w:rsid w:val="006649C5"/>
    <w:rsid w:val="00667D5E"/>
    <w:rsid w:val="0067274D"/>
    <w:rsid w:val="00672884"/>
    <w:rsid w:val="006736C6"/>
    <w:rsid w:val="006752EA"/>
    <w:rsid w:val="00675974"/>
    <w:rsid w:val="00676944"/>
    <w:rsid w:val="006769BA"/>
    <w:rsid w:val="00676F61"/>
    <w:rsid w:val="00677AB9"/>
    <w:rsid w:val="00677C5C"/>
    <w:rsid w:val="00681804"/>
    <w:rsid w:val="00681C20"/>
    <w:rsid w:val="00683042"/>
    <w:rsid w:val="00683D36"/>
    <w:rsid w:val="00685902"/>
    <w:rsid w:val="00686267"/>
    <w:rsid w:val="0068762B"/>
    <w:rsid w:val="0069016F"/>
    <w:rsid w:val="0069159D"/>
    <w:rsid w:val="006958A1"/>
    <w:rsid w:val="00695F40"/>
    <w:rsid w:val="0069704F"/>
    <w:rsid w:val="00697CC4"/>
    <w:rsid w:val="006A0E9D"/>
    <w:rsid w:val="006A0EE3"/>
    <w:rsid w:val="006A19CA"/>
    <w:rsid w:val="006A3F13"/>
    <w:rsid w:val="006A4D95"/>
    <w:rsid w:val="006A58B4"/>
    <w:rsid w:val="006A6018"/>
    <w:rsid w:val="006A63E6"/>
    <w:rsid w:val="006A7BB9"/>
    <w:rsid w:val="006B0258"/>
    <w:rsid w:val="006B1F59"/>
    <w:rsid w:val="006B5B5B"/>
    <w:rsid w:val="006B6A81"/>
    <w:rsid w:val="006C03D2"/>
    <w:rsid w:val="006C0EF7"/>
    <w:rsid w:val="006C1047"/>
    <w:rsid w:val="006C241F"/>
    <w:rsid w:val="006C2DE7"/>
    <w:rsid w:val="006C31F5"/>
    <w:rsid w:val="006C500C"/>
    <w:rsid w:val="006D2343"/>
    <w:rsid w:val="006D3F0F"/>
    <w:rsid w:val="006D446C"/>
    <w:rsid w:val="006D46DA"/>
    <w:rsid w:val="006D55FD"/>
    <w:rsid w:val="006D62D6"/>
    <w:rsid w:val="006D6B46"/>
    <w:rsid w:val="006E12C5"/>
    <w:rsid w:val="006E2380"/>
    <w:rsid w:val="006E34DD"/>
    <w:rsid w:val="006E39F7"/>
    <w:rsid w:val="006E69A2"/>
    <w:rsid w:val="006F1B24"/>
    <w:rsid w:val="006F2208"/>
    <w:rsid w:val="006F38B2"/>
    <w:rsid w:val="006F68FB"/>
    <w:rsid w:val="006F714E"/>
    <w:rsid w:val="006F7877"/>
    <w:rsid w:val="00701A00"/>
    <w:rsid w:val="00701DC4"/>
    <w:rsid w:val="0070316D"/>
    <w:rsid w:val="00704653"/>
    <w:rsid w:val="007048A7"/>
    <w:rsid w:val="007063BC"/>
    <w:rsid w:val="00706AE6"/>
    <w:rsid w:val="00710E7A"/>
    <w:rsid w:val="00712AEE"/>
    <w:rsid w:val="00712EC6"/>
    <w:rsid w:val="007154CF"/>
    <w:rsid w:val="00716AB5"/>
    <w:rsid w:val="00716D16"/>
    <w:rsid w:val="007176B8"/>
    <w:rsid w:val="00720ECE"/>
    <w:rsid w:val="007221C0"/>
    <w:rsid w:val="00722312"/>
    <w:rsid w:val="00723B5E"/>
    <w:rsid w:val="0072700A"/>
    <w:rsid w:val="00730FD8"/>
    <w:rsid w:val="00732E1E"/>
    <w:rsid w:val="00733BED"/>
    <w:rsid w:val="0073567D"/>
    <w:rsid w:val="00735DBE"/>
    <w:rsid w:val="007366CF"/>
    <w:rsid w:val="00736F55"/>
    <w:rsid w:val="00742ED0"/>
    <w:rsid w:val="007438F5"/>
    <w:rsid w:val="007441AC"/>
    <w:rsid w:val="00746060"/>
    <w:rsid w:val="00747F4E"/>
    <w:rsid w:val="00747FA6"/>
    <w:rsid w:val="007504CB"/>
    <w:rsid w:val="0075321E"/>
    <w:rsid w:val="00753350"/>
    <w:rsid w:val="00756173"/>
    <w:rsid w:val="0075663C"/>
    <w:rsid w:val="0076132A"/>
    <w:rsid w:val="00761393"/>
    <w:rsid w:val="007624C0"/>
    <w:rsid w:val="0076444C"/>
    <w:rsid w:val="00764712"/>
    <w:rsid w:val="00764C23"/>
    <w:rsid w:val="007659E7"/>
    <w:rsid w:val="00766710"/>
    <w:rsid w:val="00770137"/>
    <w:rsid w:val="00770C6B"/>
    <w:rsid w:val="00770E1A"/>
    <w:rsid w:val="00771F07"/>
    <w:rsid w:val="00772119"/>
    <w:rsid w:val="00774B40"/>
    <w:rsid w:val="00776C40"/>
    <w:rsid w:val="00777324"/>
    <w:rsid w:val="00777962"/>
    <w:rsid w:val="007819ED"/>
    <w:rsid w:val="00784F96"/>
    <w:rsid w:val="0078559B"/>
    <w:rsid w:val="007857A1"/>
    <w:rsid w:val="00787AC8"/>
    <w:rsid w:val="00791BE0"/>
    <w:rsid w:val="00791C36"/>
    <w:rsid w:val="00792121"/>
    <w:rsid w:val="007934DE"/>
    <w:rsid w:val="00793A9A"/>
    <w:rsid w:val="00793F98"/>
    <w:rsid w:val="00796A79"/>
    <w:rsid w:val="00796DAF"/>
    <w:rsid w:val="007A1DFA"/>
    <w:rsid w:val="007A1FFB"/>
    <w:rsid w:val="007A51D1"/>
    <w:rsid w:val="007A5C41"/>
    <w:rsid w:val="007A6636"/>
    <w:rsid w:val="007A7170"/>
    <w:rsid w:val="007A7B36"/>
    <w:rsid w:val="007B019D"/>
    <w:rsid w:val="007B182D"/>
    <w:rsid w:val="007B2C46"/>
    <w:rsid w:val="007B32FD"/>
    <w:rsid w:val="007B40A3"/>
    <w:rsid w:val="007B4228"/>
    <w:rsid w:val="007B5652"/>
    <w:rsid w:val="007B659C"/>
    <w:rsid w:val="007B7426"/>
    <w:rsid w:val="007C0D2D"/>
    <w:rsid w:val="007C1A3B"/>
    <w:rsid w:val="007C3045"/>
    <w:rsid w:val="007C339C"/>
    <w:rsid w:val="007C373B"/>
    <w:rsid w:val="007C41B7"/>
    <w:rsid w:val="007C477A"/>
    <w:rsid w:val="007C4C2E"/>
    <w:rsid w:val="007C6432"/>
    <w:rsid w:val="007C64A6"/>
    <w:rsid w:val="007C6C63"/>
    <w:rsid w:val="007C6D8B"/>
    <w:rsid w:val="007C6ECB"/>
    <w:rsid w:val="007D0ADA"/>
    <w:rsid w:val="007D35E0"/>
    <w:rsid w:val="007D3A7B"/>
    <w:rsid w:val="007D59D6"/>
    <w:rsid w:val="007D6C20"/>
    <w:rsid w:val="007D7727"/>
    <w:rsid w:val="007D7826"/>
    <w:rsid w:val="007E070A"/>
    <w:rsid w:val="007E10A4"/>
    <w:rsid w:val="007E19E5"/>
    <w:rsid w:val="007E7FF5"/>
    <w:rsid w:val="007F0F71"/>
    <w:rsid w:val="007F4578"/>
    <w:rsid w:val="007F5F8A"/>
    <w:rsid w:val="007F613E"/>
    <w:rsid w:val="00800381"/>
    <w:rsid w:val="00801F83"/>
    <w:rsid w:val="00802881"/>
    <w:rsid w:val="008031FB"/>
    <w:rsid w:val="00803827"/>
    <w:rsid w:val="00804789"/>
    <w:rsid w:val="0081009B"/>
    <w:rsid w:val="0081029D"/>
    <w:rsid w:val="00810410"/>
    <w:rsid w:val="008105A2"/>
    <w:rsid w:val="00811BB7"/>
    <w:rsid w:val="00812EF1"/>
    <w:rsid w:val="00813415"/>
    <w:rsid w:val="00814352"/>
    <w:rsid w:val="008152AB"/>
    <w:rsid w:val="0081565B"/>
    <w:rsid w:val="00816636"/>
    <w:rsid w:val="00817CB9"/>
    <w:rsid w:val="00820107"/>
    <w:rsid w:val="00820AE2"/>
    <w:rsid w:val="00820C1F"/>
    <w:rsid w:val="00821738"/>
    <w:rsid w:val="00821C48"/>
    <w:rsid w:val="00823A4F"/>
    <w:rsid w:val="00825806"/>
    <w:rsid w:val="00827DDA"/>
    <w:rsid w:val="00827EAB"/>
    <w:rsid w:val="008302F0"/>
    <w:rsid w:val="00832717"/>
    <w:rsid w:val="00832DB2"/>
    <w:rsid w:val="008336F8"/>
    <w:rsid w:val="00833A56"/>
    <w:rsid w:val="008360BB"/>
    <w:rsid w:val="00844ED7"/>
    <w:rsid w:val="00846D49"/>
    <w:rsid w:val="0084700E"/>
    <w:rsid w:val="00847507"/>
    <w:rsid w:val="00850CB8"/>
    <w:rsid w:val="00851287"/>
    <w:rsid w:val="00851504"/>
    <w:rsid w:val="008537DC"/>
    <w:rsid w:val="008556F8"/>
    <w:rsid w:val="00856051"/>
    <w:rsid w:val="008606A0"/>
    <w:rsid w:val="008623E9"/>
    <w:rsid w:val="00862709"/>
    <w:rsid w:val="00862D75"/>
    <w:rsid w:val="0086463D"/>
    <w:rsid w:val="00864908"/>
    <w:rsid w:val="00864FAD"/>
    <w:rsid w:val="00872021"/>
    <w:rsid w:val="0087698E"/>
    <w:rsid w:val="008832B5"/>
    <w:rsid w:val="00883488"/>
    <w:rsid w:val="00884CDF"/>
    <w:rsid w:val="0088507C"/>
    <w:rsid w:val="00885336"/>
    <w:rsid w:val="008867AB"/>
    <w:rsid w:val="00886BD2"/>
    <w:rsid w:val="00887C56"/>
    <w:rsid w:val="00887FD5"/>
    <w:rsid w:val="0089069F"/>
    <w:rsid w:val="00890C5F"/>
    <w:rsid w:val="00890CFD"/>
    <w:rsid w:val="008923F0"/>
    <w:rsid w:val="00894AC6"/>
    <w:rsid w:val="0089528D"/>
    <w:rsid w:val="008A2997"/>
    <w:rsid w:val="008A30A6"/>
    <w:rsid w:val="008A32B7"/>
    <w:rsid w:val="008A51E8"/>
    <w:rsid w:val="008A64FA"/>
    <w:rsid w:val="008A6801"/>
    <w:rsid w:val="008A6A75"/>
    <w:rsid w:val="008B0CD2"/>
    <w:rsid w:val="008B0FFC"/>
    <w:rsid w:val="008B4221"/>
    <w:rsid w:val="008B4617"/>
    <w:rsid w:val="008B6EAD"/>
    <w:rsid w:val="008B7B53"/>
    <w:rsid w:val="008C0106"/>
    <w:rsid w:val="008C042F"/>
    <w:rsid w:val="008C1706"/>
    <w:rsid w:val="008C1C96"/>
    <w:rsid w:val="008C379E"/>
    <w:rsid w:val="008C6124"/>
    <w:rsid w:val="008C6E70"/>
    <w:rsid w:val="008D01BF"/>
    <w:rsid w:val="008D118F"/>
    <w:rsid w:val="008D6252"/>
    <w:rsid w:val="008D6399"/>
    <w:rsid w:val="008E05B8"/>
    <w:rsid w:val="008E159C"/>
    <w:rsid w:val="008E29A4"/>
    <w:rsid w:val="008E30FC"/>
    <w:rsid w:val="008E4E95"/>
    <w:rsid w:val="008E5B2D"/>
    <w:rsid w:val="008E5F41"/>
    <w:rsid w:val="008F119E"/>
    <w:rsid w:val="008F1894"/>
    <w:rsid w:val="008F2EEF"/>
    <w:rsid w:val="008F39C8"/>
    <w:rsid w:val="008F4C7B"/>
    <w:rsid w:val="008F5335"/>
    <w:rsid w:val="008F69F6"/>
    <w:rsid w:val="008F7E0D"/>
    <w:rsid w:val="008F7F50"/>
    <w:rsid w:val="00901928"/>
    <w:rsid w:val="00901A6E"/>
    <w:rsid w:val="0090200F"/>
    <w:rsid w:val="00902854"/>
    <w:rsid w:val="00903FF8"/>
    <w:rsid w:val="009049DA"/>
    <w:rsid w:val="0090520A"/>
    <w:rsid w:val="00905605"/>
    <w:rsid w:val="00910436"/>
    <w:rsid w:val="009109AC"/>
    <w:rsid w:val="0091261F"/>
    <w:rsid w:val="009132A0"/>
    <w:rsid w:val="00914C15"/>
    <w:rsid w:val="00916007"/>
    <w:rsid w:val="00917944"/>
    <w:rsid w:val="0092043B"/>
    <w:rsid w:val="00920CA0"/>
    <w:rsid w:val="00920CEB"/>
    <w:rsid w:val="00920D41"/>
    <w:rsid w:val="00925334"/>
    <w:rsid w:val="00926735"/>
    <w:rsid w:val="00926E41"/>
    <w:rsid w:val="00931A56"/>
    <w:rsid w:val="0093318C"/>
    <w:rsid w:val="00934125"/>
    <w:rsid w:val="0093446B"/>
    <w:rsid w:val="0093524C"/>
    <w:rsid w:val="00937234"/>
    <w:rsid w:val="009372FD"/>
    <w:rsid w:val="009373BB"/>
    <w:rsid w:val="009402C6"/>
    <w:rsid w:val="00941C85"/>
    <w:rsid w:val="00941E78"/>
    <w:rsid w:val="0094344F"/>
    <w:rsid w:val="00943D42"/>
    <w:rsid w:val="00943DAE"/>
    <w:rsid w:val="0094459D"/>
    <w:rsid w:val="00945911"/>
    <w:rsid w:val="00946BE3"/>
    <w:rsid w:val="00947005"/>
    <w:rsid w:val="00951522"/>
    <w:rsid w:val="00951531"/>
    <w:rsid w:val="00951C6A"/>
    <w:rsid w:val="009520EE"/>
    <w:rsid w:val="0095344C"/>
    <w:rsid w:val="0095433D"/>
    <w:rsid w:val="00955263"/>
    <w:rsid w:val="00955ED9"/>
    <w:rsid w:val="009572C7"/>
    <w:rsid w:val="00960A55"/>
    <w:rsid w:val="009618A7"/>
    <w:rsid w:val="009621A6"/>
    <w:rsid w:val="00963B95"/>
    <w:rsid w:val="0096760F"/>
    <w:rsid w:val="0096793B"/>
    <w:rsid w:val="00971538"/>
    <w:rsid w:val="00972C5F"/>
    <w:rsid w:val="00973DF7"/>
    <w:rsid w:val="00974DC2"/>
    <w:rsid w:val="009771E2"/>
    <w:rsid w:val="009801BF"/>
    <w:rsid w:val="0098096D"/>
    <w:rsid w:val="009829BB"/>
    <w:rsid w:val="00984379"/>
    <w:rsid w:val="00984FBA"/>
    <w:rsid w:val="00984FBF"/>
    <w:rsid w:val="00993328"/>
    <w:rsid w:val="00994D5A"/>
    <w:rsid w:val="00994F91"/>
    <w:rsid w:val="009950CB"/>
    <w:rsid w:val="00995AB8"/>
    <w:rsid w:val="009961DA"/>
    <w:rsid w:val="0099653A"/>
    <w:rsid w:val="00996683"/>
    <w:rsid w:val="009A4D91"/>
    <w:rsid w:val="009A4E22"/>
    <w:rsid w:val="009A56D0"/>
    <w:rsid w:val="009A56DE"/>
    <w:rsid w:val="009A6CE7"/>
    <w:rsid w:val="009A6DF8"/>
    <w:rsid w:val="009A7936"/>
    <w:rsid w:val="009B209D"/>
    <w:rsid w:val="009B2763"/>
    <w:rsid w:val="009B5AAB"/>
    <w:rsid w:val="009B7692"/>
    <w:rsid w:val="009B7B92"/>
    <w:rsid w:val="009B7C11"/>
    <w:rsid w:val="009B7E14"/>
    <w:rsid w:val="009C0718"/>
    <w:rsid w:val="009C4090"/>
    <w:rsid w:val="009C66F8"/>
    <w:rsid w:val="009C674D"/>
    <w:rsid w:val="009D0215"/>
    <w:rsid w:val="009D1E33"/>
    <w:rsid w:val="009D33DB"/>
    <w:rsid w:val="009D4AEE"/>
    <w:rsid w:val="009D4E6B"/>
    <w:rsid w:val="009D5A7F"/>
    <w:rsid w:val="009D769E"/>
    <w:rsid w:val="009E0BAA"/>
    <w:rsid w:val="009E1F57"/>
    <w:rsid w:val="009E37F7"/>
    <w:rsid w:val="009E3810"/>
    <w:rsid w:val="009E4600"/>
    <w:rsid w:val="009E4B76"/>
    <w:rsid w:val="009E5203"/>
    <w:rsid w:val="009E5948"/>
    <w:rsid w:val="009E62EE"/>
    <w:rsid w:val="009E64A0"/>
    <w:rsid w:val="009E66CD"/>
    <w:rsid w:val="009E6E9B"/>
    <w:rsid w:val="009E71B9"/>
    <w:rsid w:val="009E72C2"/>
    <w:rsid w:val="009E7E8A"/>
    <w:rsid w:val="009E7FF9"/>
    <w:rsid w:val="009F30BF"/>
    <w:rsid w:val="009F3A20"/>
    <w:rsid w:val="009F527D"/>
    <w:rsid w:val="009F6FD9"/>
    <w:rsid w:val="00A00B5B"/>
    <w:rsid w:val="00A0273A"/>
    <w:rsid w:val="00A0321C"/>
    <w:rsid w:val="00A0322D"/>
    <w:rsid w:val="00A04EC0"/>
    <w:rsid w:val="00A13579"/>
    <w:rsid w:val="00A140DE"/>
    <w:rsid w:val="00A15D85"/>
    <w:rsid w:val="00A221EB"/>
    <w:rsid w:val="00A23AB4"/>
    <w:rsid w:val="00A25AD5"/>
    <w:rsid w:val="00A279D6"/>
    <w:rsid w:val="00A27BBA"/>
    <w:rsid w:val="00A322B5"/>
    <w:rsid w:val="00A32B10"/>
    <w:rsid w:val="00A33E7D"/>
    <w:rsid w:val="00A3480A"/>
    <w:rsid w:val="00A364E2"/>
    <w:rsid w:val="00A40F9A"/>
    <w:rsid w:val="00A41378"/>
    <w:rsid w:val="00A43865"/>
    <w:rsid w:val="00A459CF"/>
    <w:rsid w:val="00A47D6D"/>
    <w:rsid w:val="00A51EFC"/>
    <w:rsid w:val="00A51FA4"/>
    <w:rsid w:val="00A53F7D"/>
    <w:rsid w:val="00A5518D"/>
    <w:rsid w:val="00A551BF"/>
    <w:rsid w:val="00A565D6"/>
    <w:rsid w:val="00A56861"/>
    <w:rsid w:val="00A56FE5"/>
    <w:rsid w:val="00A5714A"/>
    <w:rsid w:val="00A57F36"/>
    <w:rsid w:val="00A640BB"/>
    <w:rsid w:val="00A67748"/>
    <w:rsid w:val="00A67899"/>
    <w:rsid w:val="00A7003F"/>
    <w:rsid w:val="00A70267"/>
    <w:rsid w:val="00A70F52"/>
    <w:rsid w:val="00A741E2"/>
    <w:rsid w:val="00A75859"/>
    <w:rsid w:val="00A7698B"/>
    <w:rsid w:val="00A8017E"/>
    <w:rsid w:val="00A80B02"/>
    <w:rsid w:val="00A8242C"/>
    <w:rsid w:val="00A8298E"/>
    <w:rsid w:val="00A83DDC"/>
    <w:rsid w:val="00A83E51"/>
    <w:rsid w:val="00A848A1"/>
    <w:rsid w:val="00A8534C"/>
    <w:rsid w:val="00A8541B"/>
    <w:rsid w:val="00A85D86"/>
    <w:rsid w:val="00A85E41"/>
    <w:rsid w:val="00A862B8"/>
    <w:rsid w:val="00A86C00"/>
    <w:rsid w:val="00A901B4"/>
    <w:rsid w:val="00A91510"/>
    <w:rsid w:val="00A921A9"/>
    <w:rsid w:val="00A92369"/>
    <w:rsid w:val="00A93129"/>
    <w:rsid w:val="00A9585B"/>
    <w:rsid w:val="00A97454"/>
    <w:rsid w:val="00A978BB"/>
    <w:rsid w:val="00A97B50"/>
    <w:rsid w:val="00AA1559"/>
    <w:rsid w:val="00AA1811"/>
    <w:rsid w:val="00AA1868"/>
    <w:rsid w:val="00AA1EC5"/>
    <w:rsid w:val="00AA21B8"/>
    <w:rsid w:val="00AA28EF"/>
    <w:rsid w:val="00AA2C0C"/>
    <w:rsid w:val="00AA3A1F"/>
    <w:rsid w:val="00AA57BA"/>
    <w:rsid w:val="00AA5FF7"/>
    <w:rsid w:val="00AB1A0D"/>
    <w:rsid w:val="00AB1B52"/>
    <w:rsid w:val="00AB1C1C"/>
    <w:rsid w:val="00AB40B1"/>
    <w:rsid w:val="00AB53C4"/>
    <w:rsid w:val="00AB64EB"/>
    <w:rsid w:val="00AC0FE4"/>
    <w:rsid w:val="00AC1EC6"/>
    <w:rsid w:val="00AC2A4D"/>
    <w:rsid w:val="00AC4E98"/>
    <w:rsid w:val="00AC7862"/>
    <w:rsid w:val="00AC7F40"/>
    <w:rsid w:val="00AD0D5A"/>
    <w:rsid w:val="00AD5A19"/>
    <w:rsid w:val="00AD675B"/>
    <w:rsid w:val="00AD6A38"/>
    <w:rsid w:val="00AD6F40"/>
    <w:rsid w:val="00AD719B"/>
    <w:rsid w:val="00AD72FB"/>
    <w:rsid w:val="00AE0A3E"/>
    <w:rsid w:val="00AE1105"/>
    <w:rsid w:val="00AE1F64"/>
    <w:rsid w:val="00AE2135"/>
    <w:rsid w:val="00AE2613"/>
    <w:rsid w:val="00AE3356"/>
    <w:rsid w:val="00AE357C"/>
    <w:rsid w:val="00AE6E40"/>
    <w:rsid w:val="00AE734D"/>
    <w:rsid w:val="00AF1143"/>
    <w:rsid w:val="00AF292C"/>
    <w:rsid w:val="00AF2B83"/>
    <w:rsid w:val="00AF4E0F"/>
    <w:rsid w:val="00AF53A9"/>
    <w:rsid w:val="00AF5B41"/>
    <w:rsid w:val="00AF7FD2"/>
    <w:rsid w:val="00B000B2"/>
    <w:rsid w:val="00B01761"/>
    <w:rsid w:val="00B02618"/>
    <w:rsid w:val="00B0425E"/>
    <w:rsid w:val="00B04BB5"/>
    <w:rsid w:val="00B073FC"/>
    <w:rsid w:val="00B07C1E"/>
    <w:rsid w:val="00B11656"/>
    <w:rsid w:val="00B11C73"/>
    <w:rsid w:val="00B146A0"/>
    <w:rsid w:val="00B152A5"/>
    <w:rsid w:val="00B17B95"/>
    <w:rsid w:val="00B200B6"/>
    <w:rsid w:val="00B203C9"/>
    <w:rsid w:val="00B21455"/>
    <w:rsid w:val="00B23224"/>
    <w:rsid w:val="00B258D4"/>
    <w:rsid w:val="00B2663D"/>
    <w:rsid w:val="00B3031D"/>
    <w:rsid w:val="00B308FB"/>
    <w:rsid w:val="00B3093C"/>
    <w:rsid w:val="00B3354C"/>
    <w:rsid w:val="00B344C1"/>
    <w:rsid w:val="00B349EE"/>
    <w:rsid w:val="00B350BA"/>
    <w:rsid w:val="00B352E1"/>
    <w:rsid w:val="00B3597F"/>
    <w:rsid w:val="00B4104B"/>
    <w:rsid w:val="00B43FF5"/>
    <w:rsid w:val="00B44253"/>
    <w:rsid w:val="00B44458"/>
    <w:rsid w:val="00B45693"/>
    <w:rsid w:val="00B456FC"/>
    <w:rsid w:val="00B45782"/>
    <w:rsid w:val="00B45B21"/>
    <w:rsid w:val="00B4620A"/>
    <w:rsid w:val="00B46DE3"/>
    <w:rsid w:val="00B47305"/>
    <w:rsid w:val="00B47D1A"/>
    <w:rsid w:val="00B507CC"/>
    <w:rsid w:val="00B50EFB"/>
    <w:rsid w:val="00B510AA"/>
    <w:rsid w:val="00B51993"/>
    <w:rsid w:val="00B56688"/>
    <w:rsid w:val="00B575BE"/>
    <w:rsid w:val="00B577A1"/>
    <w:rsid w:val="00B6027E"/>
    <w:rsid w:val="00B60DA3"/>
    <w:rsid w:val="00B6101B"/>
    <w:rsid w:val="00B614F9"/>
    <w:rsid w:val="00B62990"/>
    <w:rsid w:val="00B62E41"/>
    <w:rsid w:val="00B635F9"/>
    <w:rsid w:val="00B64B45"/>
    <w:rsid w:val="00B75549"/>
    <w:rsid w:val="00B75FDC"/>
    <w:rsid w:val="00B76BDA"/>
    <w:rsid w:val="00B76C1B"/>
    <w:rsid w:val="00B81352"/>
    <w:rsid w:val="00B81574"/>
    <w:rsid w:val="00B82715"/>
    <w:rsid w:val="00B82977"/>
    <w:rsid w:val="00B831A6"/>
    <w:rsid w:val="00B83708"/>
    <w:rsid w:val="00B83D34"/>
    <w:rsid w:val="00B8431B"/>
    <w:rsid w:val="00B85F95"/>
    <w:rsid w:val="00B87CAB"/>
    <w:rsid w:val="00B912D3"/>
    <w:rsid w:val="00B91AC4"/>
    <w:rsid w:val="00B95B12"/>
    <w:rsid w:val="00BA001F"/>
    <w:rsid w:val="00BA05F0"/>
    <w:rsid w:val="00BA431B"/>
    <w:rsid w:val="00BA5494"/>
    <w:rsid w:val="00BA5DA5"/>
    <w:rsid w:val="00BA6887"/>
    <w:rsid w:val="00BA68DA"/>
    <w:rsid w:val="00BA7A28"/>
    <w:rsid w:val="00BB0B96"/>
    <w:rsid w:val="00BB4D53"/>
    <w:rsid w:val="00BB59E6"/>
    <w:rsid w:val="00BB689D"/>
    <w:rsid w:val="00BB7816"/>
    <w:rsid w:val="00BC0181"/>
    <w:rsid w:val="00BC08B3"/>
    <w:rsid w:val="00BC0F5F"/>
    <w:rsid w:val="00BC1D5C"/>
    <w:rsid w:val="00BC3A10"/>
    <w:rsid w:val="00BC4BDD"/>
    <w:rsid w:val="00BC6B23"/>
    <w:rsid w:val="00BD0E2E"/>
    <w:rsid w:val="00BD2137"/>
    <w:rsid w:val="00BD238B"/>
    <w:rsid w:val="00BD2A48"/>
    <w:rsid w:val="00BD5265"/>
    <w:rsid w:val="00BD546E"/>
    <w:rsid w:val="00BD5A93"/>
    <w:rsid w:val="00BD6C0E"/>
    <w:rsid w:val="00BE037E"/>
    <w:rsid w:val="00BE1297"/>
    <w:rsid w:val="00BE2F59"/>
    <w:rsid w:val="00BE6995"/>
    <w:rsid w:val="00BE7391"/>
    <w:rsid w:val="00BE7BD3"/>
    <w:rsid w:val="00BF0CC9"/>
    <w:rsid w:val="00BF245A"/>
    <w:rsid w:val="00BF2E82"/>
    <w:rsid w:val="00BF3F10"/>
    <w:rsid w:val="00BF3FA8"/>
    <w:rsid w:val="00BF4EC6"/>
    <w:rsid w:val="00BF5625"/>
    <w:rsid w:val="00C01BEC"/>
    <w:rsid w:val="00C027E0"/>
    <w:rsid w:val="00C04005"/>
    <w:rsid w:val="00C0492F"/>
    <w:rsid w:val="00C05A7C"/>
    <w:rsid w:val="00C06C1F"/>
    <w:rsid w:val="00C155DA"/>
    <w:rsid w:val="00C2292B"/>
    <w:rsid w:val="00C22FC1"/>
    <w:rsid w:val="00C23177"/>
    <w:rsid w:val="00C23B53"/>
    <w:rsid w:val="00C24836"/>
    <w:rsid w:val="00C263C5"/>
    <w:rsid w:val="00C2780A"/>
    <w:rsid w:val="00C30F3A"/>
    <w:rsid w:val="00C31162"/>
    <w:rsid w:val="00C31F35"/>
    <w:rsid w:val="00C32D9B"/>
    <w:rsid w:val="00C33007"/>
    <w:rsid w:val="00C3422C"/>
    <w:rsid w:val="00C373F0"/>
    <w:rsid w:val="00C3792C"/>
    <w:rsid w:val="00C4285C"/>
    <w:rsid w:val="00C43742"/>
    <w:rsid w:val="00C43796"/>
    <w:rsid w:val="00C44314"/>
    <w:rsid w:val="00C445B7"/>
    <w:rsid w:val="00C44F0B"/>
    <w:rsid w:val="00C473B0"/>
    <w:rsid w:val="00C522A8"/>
    <w:rsid w:val="00C53260"/>
    <w:rsid w:val="00C53938"/>
    <w:rsid w:val="00C579CC"/>
    <w:rsid w:val="00C57BF9"/>
    <w:rsid w:val="00C61B52"/>
    <w:rsid w:val="00C6312B"/>
    <w:rsid w:val="00C70482"/>
    <w:rsid w:val="00C7293C"/>
    <w:rsid w:val="00C741FD"/>
    <w:rsid w:val="00C75314"/>
    <w:rsid w:val="00C76636"/>
    <w:rsid w:val="00C76C44"/>
    <w:rsid w:val="00C81070"/>
    <w:rsid w:val="00C83377"/>
    <w:rsid w:val="00C860A1"/>
    <w:rsid w:val="00C87E75"/>
    <w:rsid w:val="00C9020A"/>
    <w:rsid w:val="00C90A1D"/>
    <w:rsid w:val="00C91A8F"/>
    <w:rsid w:val="00C91ED3"/>
    <w:rsid w:val="00C93E64"/>
    <w:rsid w:val="00C950A9"/>
    <w:rsid w:val="00C967C9"/>
    <w:rsid w:val="00C96EB9"/>
    <w:rsid w:val="00C97046"/>
    <w:rsid w:val="00C97BE4"/>
    <w:rsid w:val="00CA099F"/>
    <w:rsid w:val="00CA13FE"/>
    <w:rsid w:val="00CA1C0B"/>
    <w:rsid w:val="00CA1E2F"/>
    <w:rsid w:val="00CA296C"/>
    <w:rsid w:val="00CA5256"/>
    <w:rsid w:val="00CA573C"/>
    <w:rsid w:val="00CA6A62"/>
    <w:rsid w:val="00CB210E"/>
    <w:rsid w:val="00CB2FBF"/>
    <w:rsid w:val="00CB308D"/>
    <w:rsid w:val="00CB393E"/>
    <w:rsid w:val="00CB69E2"/>
    <w:rsid w:val="00CB6C45"/>
    <w:rsid w:val="00CB6CA5"/>
    <w:rsid w:val="00CB7133"/>
    <w:rsid w:val="00CB7664"/>
    <w:rsid w:val="00CB7873"/>
    <w:rsid w:val="00CC1BB9"/>
    <w:rsid w:val="00CC30C5"/>
    <w:rsid w:val="00CC67AC"/>
    <w:rsid w:val="00CC68AD"/>
    <w:rsid w:val="00CC6BF3"/>
    <w:rsid w:val="00CC73BF"/>
    <w:rsid w:val="00CD22F3"/>
    <w:rsid w:val="00CD3314"/>
    <w:rsid w:val="00CD367F"/>
    <w:rsid w:val="00CD467F"/>
    <w:rsid w:val="00CD4E06"/>
    <w:rsid w:val="00CD5B92"/>
    <w:rsid w:val="00CD7ACA"/>
    <w:rsid w:val="00CE0343"/>
    <w:rsid w:val="00CE0A55"/>
    <w:rsid w:val="00CE30F4"/>
    <w:rsid w:val="00CE457A"/>
    <w:rsid w:val="00CE6FAC"/>
    <w:rsid w:val="00CF0A19"/>
    <w:rsid w:val="00CF10EB"/>
    <w:rsid w:val="00CF2A3C"/>
    <w:rsid w:val="00CF2FE8"/>
    <w:rsid w:val="00CF4CA1"/>
    <w:rsid w:val="00CF589C"/>
    <w:rsid w:val="00CF727B"/>
    <w:rsid w:val="00D01913"/>
    <w:rsid w:val="00D03C44"/>
    <w:rsid w:val="00D10116"/>
    <w:rsid w:val="00D10149"/>
    <w:rsid w:val="00D103AD"/>
    <w:rsid w:val="00D10BB2"/>
    <w:rsid w:val="00D119BA"/>
    <w:rsid w:val="00D12978"/>
    <w:rsid w:val="00D1386A"/>
    <w:rsid w:val="00D13E79"/>
    <w:rsid w:val="00D14478"/>
    <w:rsid w:val="00D1581F"/>
    <w:rsid w:val="00D171CB"/>
    <w:rsid w:val="00D20965"/>
    <w:rsid w:val="00D22DAD"/>
    <w:rsid w:val="00D253AA"/>
    <w:rsid w:val="00D254BA"/>
    <w:rsid w:val="00D26472"/>
    <w:rsid w:val="00D26FA0"/>
    <w:rsid w:val="00D306DA"/>
    <w:rsid w:val="00D322A0"/>
    <w:rsid w:val="00D32982"/>
    <w:rsid w:val="00D3607C"/>
    <w:rsid w:val="00D3614C"/>
    <w:rsid w:val="00D363C7"/>
    <w:rsid w:val="00D3645B"/>
    <w:rsid w:val="00D36610"/>
    <w:rsid w:val="00D3792E"/>
    <w:rsid w:val="00D40964"/>
    <w:rsid w:val="00D420BF"/>
    <w:rsid w:val="00D448ED"/>
    <w:rsid w:val="00D45039"/>
    <w:rsid w:val="00D46086"/>
    <w:rsid w:val="00D4685E"/>
    <w:rsid w:val="00D47958"/>
    <w:rsid w:val="00D52196"/>
    <w:rsid w:val="00D52998"/>
    <w:rsid w:val="00D529B7"/>
    <w:rsid w:val="00D52C5A"/>
    <w:rsid w:val="00D54170"/>
    <w:rsid w:val="00D54C35"/>
    <w:rsid w:val="00D608E6"/>
    <w:rsid w:val="00D613D7"/>
    <w:rsid w:val="00D63542"/>
    <w:rsid w:val="00D6539C"/>
    <w:rsid w:val="00D65AC5"/>
    <w:rsid w:val="00D663D6"/>
    <w:rsid w:val="00D66BF4"/>
    <w:rsid w:val="00D71280"/>
    <w:rsid w:val="00D71B17"/>
    <w:rsid w:val="00D729E4"/>
    <w:rsid w:val="00D72ED5"/>
    <w:rsid w:val="00D73699"/>
    <w:rsid w:val="00D75522"/>
    <w:rsid w:val="00D755FA"/>
    <w:rsid w:val="00D777EB"/>
    <w:rsid w:val="00D819D0"/>
    <w:rsid w:val="00D82A69"/>
    <w:rsid w:val="00D82F1D"/>
    <w:rsid w:val="00D83D11"/>
    <w:rsid w:val="00D90B90"/>
    <w:rsid w:val="00D91C76"/>
    <w:rsid w:val="00D91CF2"/>
    <w:rsid w:val="00D9329C"/>
    <w:rsid w:val="00D94737"/>
    <w:rsid w:val="00D94C92"/>
    <w:rsid w:val="00D94E74"/>
    <w:rsid w:val="00D95227"/>
    <w:rsid w:val="00D9566F"/>
    <w:rsid w:val="00D965A7"/>
    <w:rsid w:val="00D974EA"/>
    <w:rsid w:val="00D97A26"/>
    <w:rsid w:val="00DA00FC"/>
    <w:rsid w:val="00DA1F96"/>
    <w:rsid w:val="00DA39AC"/>
    <w:rsid w:val="00DA4EFB"/>
    <w:rsid w:val="00DA65A2"/>
    <w:rsid w:val="00DB056F"/>
    <w:rsid w:val="00DB19E2"/>
    <w:rsid w:val="00DB2268"/>
    <w:rsid w:val="00DB27E8"/>
    <w:rsid w:val="00DB3BCA"/>
    <w:rsid w:val="00DB42CB"/>
    <w:rsid w:val="00DB60DA"/>
    <w:rsid w:val="00DC21F4"/>
    <w:rsid w:val="00DC4052"/>
    <w:rsid w:val="00DC6918"/>
    <w:rsid w:val="00DC6E67"/>
    <w:rsid w:val="00DC79AC"/>
    <w:rsid w:val="00DD2226"/>
    <w:rsid w:val="00DD2DBD"/>
    <w:rsid w:val="00DD3F2A"/>
    <w:rsid w:val="00DD46B1"/>
    <w:rsid w:val="00DD4AD9"/>
    <w:rsid w:val="00DE1E62"/>
    <w:rsid w:val="00DE5229"/>
    <w:rsid w:val="00DE5DE2"/>
    <w:rsid w:val="00DE7045"/>
    <w:rsid w:val="00DF4228"/>
    <w:rsid w:val="00DF4598"/>
    <w:rsid w:val="00DF5FA6"/>
    <w:rsid w:val="00E01AB1"/>
    <w:rsid w:val="00E01E3E"/>
    <w:rsid w:val="00E02570"/>
    <w:rsid w:val="00E0292C"/>
    <w:rsid w:val="00E02F08"/>
    <w:rsid w:val="00E03641"/>
    <w:rsid w:val="00E04096"/>
    <w:rsid w:val="00E04235"/>
    <w:rsid w:val="00E05E49"/>
    <w:rsid w:val="00E0666B"/>
    <w:rsid w:val="00E0799B"/>
    <w:rsid w:val="00E079FC"/>
    <w:rsid w:val="00E11691"/>
    <w:rsid w:val="00E15D5C"/>
    <w:rsid w:val="00E17893"/>
    <w:rsid w:val="00E229C9"/>
    <w:rsid w:val="00E239E9"/>
    <w:rsid w:val="00E23DEA"/>
    <w:rsid w:val="00E2667E"/>
    <w:rsid w:val="00E279E5"/>
    <w:rsid w:val="00E27C14"/>
    <w:rsid w:val="00E3061D"/>
    <w:rsid w:val="00E339EF"/>
    <w:rsid w:val="00E350BE"/>
    <w:rsid w:val="00E3692B"/>
    <w:rsid w:val="00E4193D"/>
    <w:rsid w:val="00E41EC1"/>
    <w:rsid w:val="00E431CE"/>
    <w:rsid w:val="00E46DC3"/>
    <w:rsid w:val="00E50153"/>
    <w:rsid w:val="00E5073D"/>
    <w:rsid w:val="00E50FFF"/>
    <w:rsid w:val="00E519A6"/>
    <w:rsid w:val="00E519B4"/>
    <w:rsid w:val="00E53810"/>
    <w:rsid w:val="00E53F10"/>
    <w:rsid w:val="00E54613"/>
    <w:rsid w:val="00E5604B"/>
    <w:rsid w:val="00E60C29"/>
    <w:rsid w:val="00E65B27"/>
    <w:rsid w:val="00E66C87"/>
    <w:rsid w:val="00E67103"/>
    <w:rsid w:val="00E73118"/>
    <w:rsid w:val="00E74FAE"/>
    <w:rsid w:val="00E757E3"/>
    <w:rsid w:val="00E76EA2"/>
    <w:rsid w:val="00E832B6"/>
    <w:rsid w:val="00E83DCF"/>
    <w:rsid w:val="00E868E1"/>
    <w:rsid w:val="00E9025F"/>
    <w:rsid w:val="00E912EF"/>
    <w:rsid w:val="00E91A24"/>
    <w:rsid w:val="00E939CD"/>
    <w:rsid w:val="00E94DAE"/>
    <w:rsid w:val="00E95484"/>
    <w:rsid w:val="00E956EC"/>
    <w:rsid w:val="00E967EE"/>
    <w:rsid w:val="00EA2FCB"/>
    <w:rsid w:val="00EA3134"/>
    <w:rsid w:val="00EA4BCD"/>
    <w:rsid w:val="00EA6799"/>
    <w:rsid w:val="00EA742C"/>
    <w:rsid w:val="00EB2425"/>
    <w:rsid w:val="00EB2E53"/>
    <w:rsid w:val="00EB566D"/>
    <w:rsid w:val="00EB5B93"/>
    <w:rsid w:val="00EB6180"/>
    <w:rsid w:val="00EB7FC9"/>
    <w:rsid w:val="00EC1844"/>
    <w:rsid w:val="00EC22C1"/>
    <w:rsid w:val="00EC28DE"/>
    <w:rsid w:val="00EC6F81"/>
    <w:rsid w:val="00EC75FE"/>
    <w:rsid w:val="00EC79BA"/>
    <w:rsid w:val="00ED0307"/>
    <w:rsid w:val="00ED5D58"/>
    <w:rsid w:val="00EE0B25"/>
    <w:rsid w:val="00EE41F4"/>
    <w:rsid w:val="00EE4323"/>
    <w:rsid w:val="00EE6DDB"/>
    <w:rsid w:val="00EF035D"/>
    <w:rsid w:val="00EF04BD"/>
    <w:rsid w:val="00EF0B03"/>
    <w:rsid w:val="00EF16C5"/>
    <w:rsid w:val="00EF16D4"/>
    <w:rsid w:val="00EF2EEE"/>
    <w:rsid w:val="00EF4272"/>
    <w:rsid w:val="00EF47B9"/>
    <w:rsid w:val="00EF5EFD"/>
    <w:rsid w:val="00EF66CD"/>
    <w:rsid w:val="00F03928"/>
    <w:rsid w:val="00F04F93"/>
    <w:rsid w:val="00F05BB8"/>
    <w:rsid w:val="00F05CC3"/>
    <w:rsid w:val="00F0645E"/>
    <w:rsid w:val="00F06F40"/>
    <w:rsid w:val="00F12198"/>
    <w:rsid w:val="00F13FF5"/>
    <w:rsid w:val="00F2280D"/>
    <w:rsid w:val="00F263C9"/>
    <w:rsid w:val="00F26732"/>
    <w:rsid w:val="00F274DF"/>
    <w:rsid w:val="00F27702"/>
    <w:rsid w:val="00F30637"/>
    <w:rsid w:val="00F31BCA"/>
    <w:rsid w:val="00F325B3"/>
    <w:rsid w:val="00F32C54"/>
    <w:rsid w:val="00F341BD"/>
    <w:rsid w:val="00F360FD"/>
    <w:rsid w:val="00F36C2E"/>
    <w:rsid w:val="00F36DE2"/>
    <w:rsid w:val="00F40347"/>
    <w:rsid w:val="00F4157A"/>
    <w:rsid w:val="00F43850"/>
    <w:rsid w:val="00F43E4B"/>
    <w:rsid w:val="00F4557F"/>
    <w:rsid w:val="00F46578"/>
    <w:rsid w:val="00F50D7E"/>
    <w:rsid w:val="00F519AA"/>
    <w:rsid w:val="00F51E03"/>
    <w:rsid w:val="00F540BE"/>
    <w:rsid w:val="00F56D33"/>
    <w:rsid w:val="00F60992"/>
    <w:rsid w:val="00F60F8D"/>
    <w:rsid w:val="00F61BFD"/>
    <w:rsid w:val="00F648CC"/>
    <w:rsid w:val="00F64C07"/>
    <w:rsid w:val="00F64F4E"/>
    <w:rsid w:val="00F6510F"/>
    <w:rsid w:val="00F65FAB"/>
    <w:rsid w:val="00F667A0"/>
    <w:rsid w:val="00F67964"/>
    <w:rsid w:val="00F72531"/>
    <w:rsid w:val="00F733E5"/>
    <w:rsid w:val="00F734B2"/>
    <w:rsid w:val="00F746C3"/>
    <w:rsid w:val="00F74C5B"/>
    <w:rsid w:val="00F74EB3"/>
    <w:rsid w:val="00F75FA2"/>
    <w:rsid w:val="00F778D2"/>
    <w:rsid w:val="00F8020E"/>
    <w:rsid w:val="00F80EC4"/>
    <w:rsid w:val="00F80F66"/>
    <w:rsid w:val="00F8122A"/>
    <w:rsid w:val="00F81F9B"/>
    <w:rsid w:val="00F82271"/>
    <w:rsid w:val="00F82A87"/>
    <w:rsid w:val="00F84CF2"/>
    <w:rsid w:val="00F85777"/>
    <w:rsid w:val="00F85B27"/>
    <w:rsid w:val="00F86EFF"/>
    <w:rsid w:val="00F9131E"/>
    <w:rsid w:val="00F9574C"/>
    <w:rsid w:val="00FA36C5"/>
    <w:rsid w:val="00FA4C52"/>
    <w:rsid w:val="00FA5CF0"/>
    <w:rsid w:val="00FB064A"/>
    <w:rsid w:val="00FB079F"/>
    <w:rsid w:val="00FB12F8"/>
    <w:rsid w:val="00FB2914"/>
    <w:rsid w:val="00FB3D2C"/>
    <w:rsid w:val="00FB5D72"/>
    <w:rsid w:val="00FB5F19"/>
    <w:rsid w:val="00FB6A61"/>
    <w:rsid w:val="00FC1180"/>
    <w:rsid w:val="00FC3502"/>
    <w:rsid w:val="00FC39A0"/>
    <w:rsid w:val="00FC4E2B"/>
    <w:rsid w:val="00FC55E5"/>
    <w:rsid w:val="00FC685B"/>
    <w:rsid w:val="00FC6E66"/>
    <w:rsid w:val="00FD09E0"/>
    <w:rsid w:val="00FD2D3F"/>
    <w:rsid w:val="00FD4091"/>
    <w:rsid w:val="00FD4453"/>
    <w:rsid w:val="00FD5845"/>
    <w:rsid w:val="00FD623C"/>
    <w:rsid w:val="00FE0224"/>
    <w:rsid w:val="00FE0C8F"/>
    <w:rsid w:val="00FE11B2"/>
    <w:rsid w:val="00FE3B70"/>
    <w:rsid w:val="00FE44FD"/>
    <w:rsid w:val="00FE47F7"/>
    <w:rsid w:val="00FE4F38"/>
    <w:rsid w:val="00FE5515"/>
    <w:rsid w:val="00FF1EF3"/>
    <w:rsid w:val="00FF3A15"/>
    <w:rsid w:val="00FF4CC1"/>
    <w:rsid w:val="00FF56CD"/>
    <w:rsid w:val="00FF5DFF"/>
    <w:rsid w:val="00FF5F46"/>
    <w:rsid w:val="00FF6380"/>
    <w:rsid w:val="00FF7756"/>
    <w:rsid w:val="013B1094"/>
    <w:rsid w:val="0174183F"/>
    <w:rsid w:val="01B02A2E"/>
    <w:rsid w:val="01DD1E9F"/>
    <w:rsid w:val="01EE19B6"/>
    <w:rsid w:val="02105DD0"/>
    <w:rsid w:val="024B5F91"/>
    <w:rsid w:val="025A34EF"/>
    <w:rsid w:val="03064DAE"/>
    <w:rsid w:val="031B0D0E"/>
    <w:rsid w:val="031C07A5"/>
    <w:rsid w:val="032064E7"/>
    <w:rsid w:val="03653EFA"/>
    <w:rsid w:val="03C03826"/>
    <w:rsid w:val="03E3250C"/>
    <w:rsid w:val="046A40FD"/>
    <w:rsid w:val="04A10F62"/>
    <w:rsid w:val="04A23867"/>
    <w:rsid w:val="04B46C1C"/>
    <w:rsid w:val="04E452F2"/>
    <w:rsid w:val="05305CCD"/>
    <w:rsid w:val="057448C8"/>
    <w:rsid w:val="058B10D8"/>
    <w:rsid w:val="067C406A"/>
    <w:rsid w:val="06DB26AF"/>
    <w:rsid w:val="075F1804"/>
    <w:rsid w:val="078A2B69"/>
    <w:rsid w:val="082A74C0"/>
    <w:rsid w:val="084539D3"/>
    <w:rsid w:val="08701B9B"/>
    <w:rsid w:val="08D631A4"/>
    <w:rsid w:val="092075F8"/>
    <w:rsid w:val="0946657C"/>
    <w:rsid w:val="099077F7"/>
    <w:rsid w:val="09E10F24"/>
    <w:rsid w:val="09FA3031"/>
    <w:rsid w:val="0A2368BD"/>
    <w:rsid w:val="0A7A51D9"/>
    <w:rsid w:val="0ACD48F2"/>
    <w:rsid w:val="0B534BE9"/>
    <w:rsid w:val="0B9A495D"/>
    <w:rsid w:val="0BD16D98"/>
    <w:rsid w:val="0BEA58E4"/>
    <w:rsid w:val="0C4A052E"/>
    <w:rsid w:val="0C4B5C57"/>
    <w:rsid w:val="0C96006B"/>
    <w:rsid w:val="0CF06F2A"/>
    <w:rsid w:val="0D0046A4"/>
    <w:rsid w:val="0D055C5C"/>
    <w:rsid w:val="0D2100FF"/>
    <w:rsid w:val="0DA507C5"/>
    <w:rsid w:val="0DF77BA5"/>
    <w:rsid w:val="0E3A41D5"/>
    <w:rsid w:val="0E5531FB"/>
    <w:rsid w:val="0E664FCA"/>
    <w:rsid w:val="0E6F0323"/>
    <w:rsid w:val="0E776122"/>
    <w:rsid w:val="0F0C2FD0"/>
    <w:rsid w:val="0F7200CA"/>
    <w:rsid w:val="0F943B72"/>
    <w:rsid w:val="0FBE6018"/>
    <w:rsid w:val="10174160"/>
    <w:rsid w:val="10431F10"/>
    <w:rsid w:val="106A2417"/>
    <w:rsid w:val="10AE15C3"/>
    <w:rsid w:val="10C350C1"/>
    <w:rsid w:val="10C5271C"/>
    <w:rsid w:val="10F231DF"/>
    <w:rsid w:val="1117506F"/>
    <w:rsid w:val="111A4B70"/>
    <w:rsid w:val="1189322D"/>
    <w:rsid w:val="11AF4195"/>
    <w:rsid w:val="11DF17AD"/>
    <w:rsid w:val="1202325C"/>
    <w:rsid w:val="122E5DFF"/>
    <w:rsid w:val="125910CE"/>
    <w:rsid w:val="12802AFE"/>
    <w:rsid w:val="129B7938"/>
    <w:rsid w:val="13A97E33"/>
    <w:rsid w:val="13CC58CF"/>
    <w:rsid w:val="14812B5E"/>
    <w:rsid w:val="14BE16BC"/>
    <w:rsid w:val="14C52A4A"/>
    <w:rsid w:val="15040B10"/>
    <w:rsid w:val="150D619F"/>
    <w:rsid w:val="15806971"/>
    <w:rsid w:val="15FD6214"/>
    <w:rsid w:val="16106748"/>
    <w:rsid w:val="16432F89"/>
    <w:rsid w:val="168E6250"/>
    <w:rsid w:val="16984365"/>
    <w:rsid w:val="16EA2C3C"/>
    <w:rsid w:val="170F7528"/>
    <w:rsid w:val="173043C7"/>
    <w:rsid w:val="179E7583"/>
    <w:rsid w:val="181066D2"/>
    <w:rsid w:val="18BF2FB9"/>
    <w:rsid w:val="18C932FC"/>
    <w:rsid w:val="19554DBB"/>
    <w:rsid w:val="19CB3B54"/>
    <w:rsid w:val="19F85670"/>
    <w:rsid w:val="1A114CF5"/>
    <w:rsid w:val="1A50511F"/>
    <w:rsid w:val="1A531B3E"/>
    <w:rsid w:val="1A8A5B19"/>
    <w:rsid w:val="1AA50C28"/>
    <w:rsid w:val="1B0448C6"/>
    <w:rsid w:val="1B0923F0"/>
    <w:rsid w:val="1B4072CF"/>
    <w:rsid w:val="1B56385B"/>
    <w:rsid w:val="1B5E6896"/>
    <w:rsid w:val="1BCF41AF"/>
    <w:rsid w:val="1BF63E31"/>
    <w:rsid w:val="1C3212A1"/>
    <w:rsid w:val="1C486E6B"/>
    <w:rsid w:val="1C4B446B"/>
    <w:rsid w:val="1C4D4C66"/>
    <w:rsid w:val="1C535F4A"/>
    <w:rsid w:val="1C6E7E6B"/>
    <w:rsid w:val="1C8D46B5"/>
    <w:rsid w:val="1CA93B99"/>
    <w:rsid w:val="1CCC6940"/>
    <w:rsid w:val="1CE35C57"/>
    <w:rsid w:val="1D683191"/>
    <w:rsid w:val="1DA16F32"/>
    <w:rsid w:val="1DA51723"/>
    <w:rsid w:val="1DB00010"/>
    <w:rsid w:val="1DCF0B79"/>
    <w:rsid w:val="1DDF539F"/>
    <w:rsid w:val="1DE008F5"/>
    <w:rsid w:val="1E075E82"/>
    <w:rsid w:val="1E6406C2"/>
    <w:rsid w:val="1E9F430C"/>
    <w:rsid w:val="1EBB6C6C"/>
    <w:rsid w:val="1ED22B82"/>
    <w:rsid w:val="1EF7147A"/>
    <w:rsid w:val="1F0B19A2"/>
    <w:rsid w:val="1F50589A"/>
    <w:rsid w:val="1F66307C"/>
    <w:rsid w:val="1FA92F69"/>
    <w:rsid w:val="20047259"/>
    <w:rsid w:val="200D66B1"/>
    <w:rsid w:val="20340A84"/>
    <w:rsid w:val="20496733"/>
    <w:rsid w:val="205B32F0"/>
    <w:rsid w:val="20E05780"/>
    <w:rsid w:val="20EE50D7"/>
    <w:rsid w:val="20FD356C"/>
    <w:rsid w:val="211D59BC"/>
    <w:rsid w:val="211F46C2"/>
    <w:rsid w:val="212E6BA6"/>
    <w:rsid w:val="21A7762C"/>
    <w:rsid w:val="21B7196D"/>
    <w:rsid w:val="224D20BA"/>
    <w:rsid w:val="22664D6D"/>
    <w:rsid w:val="228F6446"/>
    <w:rsid w:val="22FB75A3"/>
    <w:rsid w:val="23375881"/>
    <w:rsid w:val="235A6E60"/>
    <w:rsid w:val="236776EE"/>
    <w:rsid w:val="23802022"/>
    <w:rsid w:val="23BC14BC"/>
    <w:rsid w:val="23CC2E01"/>
    <w:rsid w:val="2452597D"/>
    <w:rsid w:val="24795D0D"/>
    <w:rsid w:val="24F85EF9"/>
    <w:rsid w:val="25C1100C"/>
    <w:rsid w:val="25E457F2"/>
    <w:rsid w:val="260D62C5"/>
    <w:rsid w:val="263E08AF"/>
    <w:rsid w:val="26461511"/>
    <w:rsid w:val="2674607E"/>
    <w:rsid w:val="268D7A94"/>
    <w:rsid w:val="26A12BEB"/>
    <w:rsid w:val="26CC03B5"/>
    <w:rsid w:val="26DB4109"/>
    <w:rsid w:val="26F7266B"/>
    <w:rsid w:val="27051145"/>
    <w:rsid w:val="27353746"/>
    <w:rsid w:val="276557B7"/>
    <w:rsid w:val="27691941"/>
    <w:rsid w:val="27A74232"/>
    <w:rsid w:val="28612632"/>
    <w:rsid w:val="286E4D4F"/>
    <w:rsid w:val="287756AD"/>
    <w:rsid w:val="287B4653"/>
    <w:rsid w:val="288F719F"/>
    <w:rsid w:val="29160140"/>
    <w:rsid w:val="293807E6"/>
    <w:rsid w:val="29D82DC8"/>
    <w:rsid w:val="29E21551"/>
    <w:rsid w:val="2A0C4820"/>
    <w:rsid w:val="2A410134"/>
    <w:rsid w:val="2A4B4BF1"/>
    <w:rsid w:val="2A4F41EA"/>
    <w:rsid w:val="2A9F38E6"/>
    <w:rsid w:val="2AD32960"/>
    <w:rsid w:val="2AE95A0F"/>
    <w:rsid w:val="2B371F21"/>
    <w:rsid w:val="2B4F5948"/>
    <w:rsid w:val="2B5D17D7"/>
    <w:rsid w:val="2BC25ADE"/>
    <w:rsid w:val="2BD6595A"/>
    <w:rsid w:val="2BDE6140"/>
    <w:rsid w:val="2BF612E4"/>
    <w:rsid w:val="2C3F3999"/>
    <w:rsid w:val="2C4D184B"/>
    <w:rsid w:val="2C8C39F6"/>
    <w:rsid w:val="2C8E72AF"/>
    <w:rsid w:val="2C99503A"/>
    <w:rsid w:val="2CB90C8F"/>
    <w:rsid w:val="2CDE2954"/>
    <w:rsid w:val="2D1F2FAB"/>
    <w:rsid w:val="2D3A7C6C"/>
    <w:rsid w:val="2D621714"/>
    <w:rsid w:val="2E2069F4"/>
    <w:rsid w:val="2EE55D53"/>
    <w:rsid w:val="2EEA6D1E"/>
    <w:rsid w:val="2F2A5E74"/>
    <w:rsid w:val="2F520F27"/>
    <w:rsid w:val="2FDD174B"/>
    <w:rsid w:val="2FDF3A21"/>
    <w:rsid w:val="301614A4"/>
    <w:rsid w:val="304C1E1A"/>
    <w:rsid w:val="30662EDC"/>
    <w:rsid w:val="308B46F0"/>
    <w:rsid w:val="3102072B"/>
    <w:rsid w:val="31774C75"/>
    <w:rsid w:val="31BE14C2"/>
    <w:rsid w:val="32140715"/>
    <w:rsid w:val="32252923"/>
    <w:rsid w:val="326C2300"/>
    <w:rsid w:val="32C953D7"/>
    <w:rsid w:val="32EB0C98"/>
    <w:rsid w:val="33505BE5"/>
    <w:rsid w:val="33732940"/>
    <w:rsid w:val="337771AE"/>
    <w:rsid w:val="33C70C13"/>
    <w:rsid w:val="341D5FA7"/>
    <w:rsid w:val="341E7629"/>
    <w:rsid w:val="342108C7"/>
    <w:rsid w:val="3428494C"/>
    <w:rsid w:val="3442156A"/>
    <w:rsid w:val="34584C59"/>
    <w:rsid w:val="347E0B51"/>
    <w:rsid w:val="348F1727"/>
    <w:rsid w:val="349B38F8"/>
    <w:rsid w:val="34C53F49"/>
    <w:rsid w:val="35135DE5"/>
    <w:rsid w:val="35505F08"/>
    <w:rsid w:val="357240D1"/>
    <w:rsid w:val="35725F29"/>
    <w:rsid w:val="359D0A22"/>
    <w:rsid w:val="35A16764"/>
    <w:rsid w:val="35B30245"/>
    <w:rsid w:val="35DD5685"/>
    <w:rsid w:val="35F76384"/>
    <w:rsid w:val="36A44F75"/>
    <w:rsid w:val="36AC53C0"/>
    <w:rsid w:val="36FA25D0"/>
    <w:rsid w:val="374D78FA"/>
    <w:rsid w:val="376A4D63"/>
    <w:rsid w:val="376D0FF4"/>
    <w:rsid w:val="37860DF0"/>
    <w:rsid w:val="37AB5A01"/>
    <w:rsid w:val="38156F95"/>
    <w:rsid w:val="38267F5A"/>
    <w:rsid w:val="384C3F32"/>
    <w:rsid w:val="38514DB6"/>
    <w:rsid w:val="38797524"/>
    <w:rsid w:val="38C60217"/>
    <w:rsid w:val="38EA6674"/>
    <w:rsid w:val="398D772B"/>
    <w:rsid w:val="3A270A1E"/>
    <w:rsid w:val="3A5C0BAC"/>
    <w:rsid w:val="3A824DB6"/>
    <w:rsid w:val="3AC727C9"/>
    <w:rsid w:val="3AD51145"/>
    <w:rsid w:val="3AE056A7"/>
    <w:rsid w:val="3B00217F"/>
    <w:rsid w:val="3B563B4D"/>
    <w:rsid w:val="3B702E61"/>
    <w:rsid w:val="3BC94845"/>
    <w:rsid w:val="3BFD046C"/>
    <w:rsid w:val="3BFF037D"/>
    <w:rsid w:val="3C044D80"/>
    <w:rsid w:val="3C047931"/>
    <w:rsid w:val="3C137C90"/>
    <w:rsid w:val="3C181E99"/>
    <w:rsid w:val="3C320116"/>
    <w:rsid w:val="3C471549"/>
    <w:rsid w:val="3CFC5A39"/>
    <w:rsid w:val="3D663CFC"/>
    <w:rsid w:val="3DA46DF1"/>
    <w:rsid w:val="3DFF671E"/>
    <w:rsid w:val="3E216694"/>
    <w:rsid w:val="3E3C527C"/>
    <w:rsid w:val="3E677F46"/>
    <w:rsid w:val="3E8C147B"/>
    <w:rsid w:val="3EAA4DD9"/>
    <w:rsid w:val="3EBB73C7"/>
    <w:rsid w:val="3EF61028"/>
    <w:rsid w:val="3F19744F"/>
    <w:rsid w:val="3F9D28CE"/>
    <w:rsid w:val="40907B01"/>
    <w:rsid w:val="40D1201B"/>
    <w:rsid w:val="40DC68A2"/>
    <w:rsid w:val="4150193E"/>
    <w:rsid w:val="41A069E2"/>
    <w:rsid w:val="41BA1D8E"/>
    <w:rsid w:val="41D54F0A"/>
    <w:rsid w:val="426C1EA8"/>
    <w:rsid w:val="42982BAF"/>
    <w:rsid w:val="42A66AD1"/>
    <w:rsid w:val="42AB29D0"/>
    <w:rsid w:val="42CE5543"/>
    <w:rsid w:val="43087D58"/>
    <w:rsid w:val="434846C3"/>
    <w:rsid w:val="43B421E8"/>
    <w:rsid w:val="43C564DD"/>
    <w:rsid w:val="43D508B0"/>
    <w:rsid w:val="43E268C5"/>
    <w:rsid w:val="44366C11"/>
    <w:rsid w:val="4476700E"/>
    <w:rsid w:val="449415E2"/>
    <w:rsid w:val="44B76D66"/>
    <w:rsid w:val="44BF6C07"/>
    <w:rsid w:val="44EC107E"/>
    <w:rsid w:val="454C3CB1"/>
    <w:rsid w:val="45A44EF1"/>
    <w:rsid w:val="45C67B21"/>
    <w:rsid w:val="45E3194E"/>
    <w:rsid w:val="461443BE"/>
    <w:rsid w:val="461C3291"/>
    <w:rsid w:val="466C799D"/>
    <w:rsid w:val="4691012F"/>
    <w:rsid w:val="46C93D6D"/>
    <w:rsid w:val="46D22C21"/>
    <w:rsid w:val="46FA6186"/>
    <w:rsid w:val="47167C67"/>
    <w:rsid w:val="475A2899"/>
    <w:rsid w:val="475B5D5A"/>
    <w:rsid w:val="475D6041"/>
    <w:rsid w:val="4772112D"/>
    <w:rsid w:val="47B5318A"/>
    <w:rsid w:val="47C00CCC"/>
    <w:rsid w:val="47CA23D9"/>
    <w:rsid w:val="47E9650D"/>
    <w:rsid w:val="47EC759C"/>
    <w:rsid w:val="47F92430"/>
    <w:rsid w:val="48052B82"/>
    <w:rsid w:val="48457423"/>
    <w:rsid w:val="48474F56"/>
    <w:rsid w:val="48777F54"/>
    <w:rsid w:val="48A64365"/>
    <w:rsid w:val="48AD7248"/>
    <w:rsid w:val="48FB5D34"/>
    <w:rsid w:val="49113AD8"/>
    <w:rsid w:val="491F3980"/>
    <w:rsid w:val="492E7EB7"/>
    <w:rsid w:val="497115E3"/>
    <w:rsid w:val="49720ABC"/>
    <w:rsid w:val="49787656"/>
    <w:rsid w:val="4980541D"/>
    <w:rsid w:val="49843F7B"/>
    <w:rsid w:val="499F63BD"/>
    <w:rsid w:val="4A52261B"/>
    <w:rsid w:val="4A9A51B6"/>
    <w:rsid w:val="4AD827D0"/>
    <w:rsid w:val="4AE327E5"/>
    <w:rsid w:val="4AF84095"/>
    <w:rsid w:val="4AFD407E"/>
    <w:rsid w:val="4B63251B"/>
    <w:rsid w:val="4B881494"/>
    <w:rsid w:val="4B8F7333"/>
    <w:rsid w:val="4BAF082E"/>
    <w:rsid w:val="4C30416B"/>
    <w:rsid w:val="4C7057BC"/>
    <w:rsid w:val="4C83676C"/>
    <w:rsid w:val="4D087FDF"/>
    <w:rsid w:val="4DE4323A"/>
    <w:rsid w:val="4DF60BEA"/>
    <w:rsid w:val="4DFE60AA"/>
    <w:rsid w:val="4E00053A"/>
    <w:rsid w:val="4E3A327B"/>
    <w:rsid w:val="4EA6650C"/>
    <w:rsid w:val="4EA824BA"/>
    <w:rsid w:val="4EF26A7A"/>
    <w:rsid w:val="4EF81C11"/>
    <w:rsid w:val="4F85685A"/>
    <w:rsid w:val="4FB56C3C"/>
    <w:rsid w:val="4FE47521"/>
    <w:rsid w:val="503C110B"/>
    <w:rsid w:val="504E15BD"/>
    <w:rsid w:val="506846B1"/>
    <w:rsid w:val="50887115"/>
    <w:rsid w:val="50FE6413"/>
    <w:rsid w:val="510D4856"/>
    <w:rsid w:val="515B7CB7"/>
    <w:rsid w:val="516A3A56"/>
    <w:rsid w:val="51887D83"/>
    <w:rsid w:val="518A774A"/>
    <w:rsid w:val="52067C23"/>
    <w:rsid w:val="52171E30"/>
    <w:rsid w:val="52481FEA"/>
    <w:rsid w:val="530C79E8"/>
    <w:rsid w:val="532D7543"/>
    <w:rsid w:val="532E5601"/>
    <w:rsid w:val="535A5977"/>
    <w:rsid w:val="53AC0356"/>
    <w:rsid w:val="53BE3262"/>
    <w:rsid w:val="53C12788"/>
    <w:rsid w:val="53CD64CB"/>
    <w:rsid w:val="53E47AF0"/>
    <w:rsid w:val="53E93358"/>
    <w:rsid w:val="54224D5B"/>
    <w:rsid w:val="54870351"/>
    <w:rsid w:val="54F621D1"/>
    <w:rsid w:val="5509043B"/>
    <w:rsid w:val="551E7032"/>
    <w:rsid w:val="55525333"/>
    <w:rsid w:val="55D1679A"/>
    <w:rsid w:val="56821842"/>
    <w:rsid w:val="56F02C50"/>
    <w:rsid w:val="578B444A"/>
    <w:rsid w:val="578D6969"/>
    <w:rsid w:val="578F2469"/>
    <w:rsid w:val="5798756F"/>
    <w:rsid w:val="57A33C6D"/>
    <w:rsid w:val="57A632DA"/>
    <w:rsid w:val="58331046"/>
    <w:rsid w:val="58623DA9"/>
    <w:rsid w:val="5870201D"/>
    <w:rsid w:val="58844C97"/>
    <w:rsid w:val="58B73A25"/>
    <w:rsid w:val="58D971DD"/>
    <w:rsid w:val="58ED38EB"/>
    <w:rsid w:val="593B2894"/>
    <w:rsid w:val="596D0588"/>
    <w:rsid w:val="59A87812"/>
    <w:rsid w:val="59C96DF2"/>
    <w:rsid w:val="59E73C03"/>
    <w:rsid w:val="5A071C13"/>
    <w:rsid w:val="5AA1498D"/>
    <w:rsid w:val="5B0E7B48"/>
    <w:rsid w:val="5B0F0F1D"/>
    <w:rsid w:val="5B501F0F"/>
    <w:rsid w:val="5B7C3239"/>
    <w:rsid w:val="5BA10F5E"/>
    <w:rsid w:val="5BD535F8"/>
    <w:rsid w:val="5C387DB0"/>
    <w:rsid w:val="5C4750C0"/>
    <w:rsid w:val="5C6E55F7"/>
    <w:rsid w:val="5C81185E"/>
    <w:rsid w:val="5CBD5382"/>
    <w:rsid w:val="5CF5316E"/>
    <w:rsid w:val="5D2378DB"/>
    <w:rsid w:val="5D2865F3"/>
    <w:rsid w:val="5DBC308C"/>
    <w:rsid w:val="5DBC7D30"/>
    <w:rsid w:val="5DDC06E4"/>
    <w:rsid w:val="5E5B30A5"/>
    <w:rsid w:val="5E8048B9"/>
    <w:rsid w:val="5EAE7678"/>
    <w:rsid w:val="5ECE7E14"/>
    <w:rsid w:val="5F3C2ED6"/>
    <w:rsid w:val="5F473629"/>
    <w:rsid w:val="5FE5356E"/>
    <w:rsid w:val="601E25DC"/>
    <w:rsid w:val="60457B68"/>
    <w:rsid w:val="60586A3C"/>
    <w:rsid w:val="608E76F1"/>
    <w:rsid w:val="60C2740B"/>
    <w:rsid w:val="60D50FBD"/>
    <w:rsid w:val="61532759"/>
    <w:rsid w:val="61550F38"/>
    <w:rsid w:val="616E30EF"/>
    <w:rsid w:val="61D472D0"/>
    <w:rsid w:val="61E17D65"/>
    <w:rsid w:val="61EF4230"/>
    <w:rsid w:val="62051E87"/>
    <w:rsid w:val="620D2908"/>
    <w:rsid w:val="62147672"/>
    <w:rsid w:val="62856942"/>
    <w:rsid w:val="62A3501A"/>
    <w:rsid w:val="62F5337B"/>
    <w:rsid w:val="634E31D8"/>
    <w:rsid w:val="635A1B7D"/>
    <w:rsid w:val="635D3DB0"/>
    <w:rsid w:val="636E5628"/>
    <w:rsid w:val="63BB32F5"/>
    <w:rsid w:val="63D00091"/>
    <w:rsid w:val="63E31B72"/>
    <w:rsid w:val="63E975E8"/>
    <w:rsid w:val="63FA3360"/>
    <w:rsid w:val="64590B37"/>
    <w:rsid w:val="64DD70AC"/>
    <w:rsid w:val="653B3C30"/>
    <w:rsid w:val="659F11F1"/>
    <w:rsid w:val="65A25A5D"/>
    <w:rsid w:val="65B37C6A"/>
    <w:rsid w:val="65D200F0"/>
    <w:rsid w:val="66186DCB"/>
    <w:rsid w:val="66402391"/>
    <w:rsid w:val="667747F4"/>
    <w:rsid w:val="66D6087A"/>
    <w:rsid w:val="672B527D"/>
    <w:rsid w:val="675810B3"/>
    <w:rsid w:val="6833299C"/>
    <w:rsid w:val="684B1530"/>
    <w:rsid w:val="684D1CB0"/>
    <w:rsid w:val="68755DA6"/>
    <w:rsid w:val="688A0B6E"/>
    <w:rsid w:val="688C4213"/>
    <w:rsid w:val="68AF64C7"/>
    <w:rsid w:val="68BC2B3B"/>
    <w:rsid w:val="68CD54E6"/>
    <w:rsid w:val="68F954C6"/>
    <w:rsid w:val="68FC5484"/>
    <w:rsid w:val="690F3409"/>
    <w:rsid w:val="699F29DF"/>
    <w:rsid w:val="6A4B66C3"/>
    <w:rsid w:val="6AB03405"/>
    <w:rsid w:val="6AE14931"/>
    <w:rsid w:val="6AF44D7B"/>
    <w:rsid w:val="6B095C95"/>
    <w:rsid w:val="6B0B11B3"/>
    <w:rsid w:val="6B607F4C"/>
    <w:rsid w:val="6B616040"/>
    <w:rsid w:val="6BA53BB1"/>
    <w:rsid w:val="6BB34FC1"/>
    <w:rsid w:val="6BB64010"/>
    <w:rsid w:val="6C0C59DE"/>
    <w:rsid w:val="6CC30793"/>
    <w:rsid w:val="6CFE20B7"/>
    <w:rsid w:val="6D1A412B"/>
    <w:rsid w:val="6D374CDD"/>
    <w:rsid w:val="6D50527B"/>
    <w:rsid w:val="6D8A0F12"/>
    <w:rsid w:val="6E1B63AC"/>
    <w:rsid w:val="6E724548"/>
    <w:rsid w:val="6EA03AC1"/>
    <w:rsid w:val="6EB760D5"/>
    <w:rsid w:val="6EC62B2F"/>
    <w:rsid w:val="6F484F7F"/>
    <w:rsid w:val="6F5777C5"/>
    <w:rsid w:val="6F7B4CFB"/>
    <w:rsid w:val="6F7B7FF9"/>
    <w:rsid w:val="6FAE19A4"/>
    <w:rsid w:val="6FCC5BB0"/>
    <w:rsid w:val="6FCD1928"/>
    <w:rsid w:val="6FDC1B6B"/>
    <w:rsid w:val="70032BA1"/>
    <w:rsid w:val="702A7534"/>
    <w:rsid w:val="70346FC6"/>
    <w:rsid w:val="70455194"/>
    <w:rsid w:val="70590C2D"/>
    <w:rsid w:val="705F4E88"/>
    <w:rsid w:val="70904E30"/>
    <w:rsid w:val="709B717D"/>
    <w:rsid w:val="70B64C9A"/>
    <w:rsid w:val="70FF23EA"/>
    <w:rsid w:val="71037A4C"/>
    <w:rsid w:val="71265794"/>
    <w:rsid w:val="71341C5F"/>
    <w:rsid w:val="71B20DD6"/>
    <w:rsid w:val="71B73552"/>
    <w:rsid w:val="71CF29F1"/>
    <w:rsid w:val="71E05943"/>
    <w:rsid w:val="72393F24"/>
    <w:rsid w:val="734D092E"/>
    <w:rsid w:val="741D6AA8"/>
    <w:rsid w:val="747B287D"/>
    <w:rsid w:val="74F71921"/>
    <w:rsid w:val="74FC46AE"/>
    <w:rsid w:val="753C2EB5"/>
    <w:rsid w:val="753E09CE"/>
    <w:rsid w:val="7553467E"/>
    <w:rsid w:val="75631015"/>
    <w:rsid w:val="75632737"/>
    <w:rsid w:val="7571317C"/>
    <w:rsid w:val="75A15FE4"/>
    <w:rsid w:val="75AB6268"/>
    <w:rsid w:val="75C7148C"/>
    <w:rsid w:val="75D92DD5"/>
    <w:rsid w:val="75F52967"/>
    <w:rsid w:val="761F5E04"/>
    <w:rsid w:val="7630676D"/>
    <w:rsid w:val="7677138D"/>
    <w:rsid w:val="768713A0"/>
    <w:rsid w:val="76B86A05"/>
    <w:rsid w:val="76DB1FE0"/>
    <w:rsid w:val="76EC6B38"/>
    <w:rsid w:val="7726029C"/>
    <w:rsid w:val="772F19DD"/>
    <w:rsid w:val="779F004E"/>
    <w:rsid w:val="77AE36B5"/>
    <w:rsid w:val="77C96E79"/>
    <w:rsid w:val="77D618F9"/>
    <w:rsid w:val="78016613"/>
    <w:rsid w:val="78646965"/>
    <w:rsid w:val="788B658D"/>
    <w:rsid w:val="78A23952"/>
    <w:rsid w:val="78B25F5C"/>
    <w:rsid w:val="78E55F35"/>
    <w:rsid w:val="792D38DD"/>
    <w:rsid w:val="795A422D"/>
    <w:rsid w:val="7998592F"/>
    <w:rsid w:val="7AAA4D40"/>
    <w:rsid w:val="7AC34C4F"/>
    <w:rsid w:val="7B21214D"/>
    <w:rsid w:val="7B7B66DC"/>
    <w:rsid w:val="7C37080D"/>
    <w:rsid w:val="7C40241F"/>
    <w:rsid w:val="7C683105"/>
    <w:rsid w:val="7C684D29"/>
    <w:rsid w:val="7CAA7279"/>
    <w:rsid w:val="7CCC3693"/>
    <w:rsid w:val="7CCF3F85"/>
    <w:rsid w:val="7D263FB5"/>
    <w:rsid w:val="7D7406D3"/>
    <w:rsid w:val="7D7D2BE0"/>
    <w:rsid w:val="7D8E4496"/>
    <w:rsid w:val="7D985324"/>
    <w:rsid w:val="7DAF25A4"/>
    <w:rsid w:val="7DC06D28"/>
    <w:rsid w:val="7DC963A8"/>
    <w:rsid w:val="7DFE2A11"/>
    <w:rsid w:val="7E0265DC"/>
    <w:rsid w:val="7EB121D4"/>
    <w:rsid w:val="7ED700CE"/>
    <w:rsid w:val="7EFD1381"/>
    <w:rsid w:val="7EFD27DB"/>
    <w:rsid w:val="7F3177DE"/>
    <w:rsid w:val="7F710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7"/>
    <w:semiHidden/>
    <w:unhideWhenUsed/>
    <w:qFormat/>
    <w:uiPriority w:val="99"/>
    <w:pPr>
      <w:jc w:val="left"/>
    </w:pPr>
  </w:style>
  <w:style w:type="paragraph" w:styleId="3">
    <w:name w:val="Body Text"/>
    <w:basedOn w:val="1"/>
    <w:qFormat/>
    <w:uiPriority w:val="1"/>
    <w:pPr>
      <w:ind w:left="220" w:firstLine="479"/>
    </w:pPr>
    <w:rPr>
      <w:rFonts w:ascii="宋体" w:hAnsi="宋体" w:cs="宋体"/>
      <w:sz w:val="24"/>
      <w:lang w:val="zh-CN" w:bidi="zh-CN"/>
    </w:rPr>
  </w:style>
  <w:style w:type="paragraph" w:styleId="4">
    <w:name w:val="Plain Text"/>
    <w:basedOn w:val="1"/>
    <w:qFormat/>
    <w:uiPriority w:val="0"/>
    <w:pPr>
      <w:jc w:val="left"/>
    </w:pPr>
    <w:rPr>
      <w:rFonts w:ascii="MingLiU" w:hAnsi="Courier New" w:eastAsia="MingLiU"/>
      <w:sz w:val="24"/>
      <w:szCs w:val="20"/>
      <w:lang w:eastAsia="zh-TW"/>
    </w:rPr>
  </w:style>
  <w:style w:type="paragraph" w:styleId="5">
    <w:name w:val="Balloon Text"/>
    <w:basedOn w:val="1"/>
    <w:link w:val="26"/>
    <w:semiHidden/>
    <w:unhideWhenUsed/>
    <w:qFormat/>
    <w:uiPriority w:val="99"/>
    <w:rPr>
      <w:sz w:val="18"/>
      <w:szCs w:val="18"/>
    </w:rPr>
  </w:style>
  <w:style w:type="paragraph" w:styleId="6">
    <w:name w:val="footer"/>
    <w:basedOn w:val="1"/>
    <w:link w:val="2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2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footnote text"/>
    <w:basedOn w:val="1"/>
    <w:qFormat/>
    <w:uiPriority w:val="99"/>
    <w:pPr>
      <w:snapToGrid w:val="0"/>
      <w:jc w:val="left"/>
    </w:pPr>
    <w:rPr>
      <w:sz w:val="18"/>
      <w:szCs w:val="18"/>
    </w:rPr>
  </w:style>
  <w:style w:type="paragraph" w:styleId="9">
    <w:name w:val="HTML Preformatted"/>
    <w:basedOn w:val="1"/>
    <w:link w:val="3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0">
    <w:name w:val="Normal (Web)"/>
    <w:basedOn w:val="1"/>
    <w:semiHidden/>
    <w:unhideWhenUsed/>
    <w:qFormat/>
    <w:uiPriority w:val="99"/>
    <w:pPr>
      <w:spacing w:beforeAutospacing="1" w:afterAutospacing="1"/>
      <w:jc w:val="left"/>
    </w:pPr>
    <w:rPr>
      <w:kern w:val="0"/>
      <w:sz w:val="24"/>
    </w:rPr>
  </w:style>
  <w:style w:type="paragraph" w:styleId="11">
    <w:name w:val="Title"/>
    <w:basedOn w:val="1"/>
    <w:next w:val="1"/>
    <w:link w:val="24"/>
    <w:qFormat/>
    <w:uiPriority w:val="0"/>
    <w:pPr>
      <w:spacing w:before="240" w:after="60"/>
      <w:jc w:val="center"/>
      <w:outlineLvl w:val="0"/>
    </w:pPr>
    <w:rPr>
      <w:rFonts w:ascii="Cambria" w:hAnsi="Cambria"/>
      <w:b/>
      <w:bCs/>
      <w:sz w:val="32"/>
      <w:szCs w:val="32"/>
    </w:rPr>
  </w:style>
  <w:style w:type="paragraph" w:styleId="12">
    <w:name w:val="annotation subject"/>
    <w:basedOn w:val="2"/>
    <w:next w:val="2"/>
    <w:link w:val="28"/>
    <w:semiHidden/>
    <w:unhideWhenUsed/>
    <w:qFormat/>
    <w:uiPriority w:val="99"/>
    <w:rPr>
      <w:b/>
      <w:bCs/>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rPr>
  </w:style>
  <w:style w:type="character" w:styleId="17">
    <w:name w:val="page number"/>
    <w:basedOn w:val="15"/>
    <w:qFormat/>
    <w:uiPriority w:val="0"/>
  </w:style>
  <w:style w:type="character" w:styleId="18">
    <w:name w:val="Emphasis"/>
    <w:basedOn w:val="15"/>
    <w:qFormat/>
    <w:uiPriority w:val="20"/>
    <w:rPr>
      <w:i/>
    </w:rPr>
  </w:style>
  <w:style w:type="character" w:styleId="19">
    <w:name w:val="Hyperlink"/>
    <w:basedOn w:val="15"/>
    <w:unhideWhenUsed/>
    <w:qFormat/>
    <w:uiPriority w:val="99"/>
    <w:rPr>
      <w:color w:val="0000FF"/>
      <w:u w:val="single"/>
    </w:rPr>
  </w:style>
  <w:style w:type="character" w:styleId="20">
    <w:name w:val="annotation reference"/>
    <w:basedOn w:val="15"/>
    <w:semiHidden/>
    <w:unhideWhenUsed/>
    <w:qFormat/>
    <w:uiPriority w:val="99"/>
    <w:rPr>
      <w:sz w:val="21"/>
      <w:szCs w:val="21"/>
    </w:rPr>
  </w:style>
  <w:style w:type="character" w:styleId="21">
    <w:name w:val="footnote reference"/>
    <w:qFormat/>
    <w:uiPriority w:val="99"/>
    <w:rPr>
      <w:vertAlign w:val="superscript"/>
    </w:rPr>
  </w:style>
  <w:style w:type="character" w:customStyle="1" w:styleId="22">
    <w:name w:val="页眉 字符"/>
    <w:basedOn w:val="15"/>
    <w:link w:val="7"/>
    <w:qFormat/>
    <w:uiPriority w:val="99"/>
    <w:rPr>
      <w:sz w:val="18"/>
      <w:szCs w:val="18"/>
    </w:rPr>
  </w:style>
  <w:style w:type="character" w:customStyle="1" w:styleId="23">
    <w:name w:val="页脚 字符"/>
    <w:basedOn w:val="15"/>
    <w:link w:val="6"/>
    <w:qFormat/>
    <w:uiPriority w:val="99"/>
    <w:rPr>
      <w:sz w:val="18"/>
      <w:szCs w:val="18"/>
    </w:rPr>
  </w:style>
  <w:style w:type="character" w:customStyle="1" w:styleId="24">
    <w:name w:val="标题 字符"/>
    <w:basedOn w:val="15"/>
    <w:link w:val="11"/>
    <w:qFormat/>
    <w:uiPriority w:val="0"/>
    <w:rPr>
      <w:rFonts w:ascii="Cambria" w:hAnsi="Cambria" w:eastAsia="宋体" w:cs="Times New Roman"/>
      <w:b/>
      <w:bCs/>
      <w:sz w:val="32"/>
      <w:szCs w:val="32"/>
    </w:rPr>
  </w:style>
  <w:style w:type="paragraph" w:styleId="25">
    <w:name w:val="List Paragraph"/>
    <w:basedOn w:val="1"/>
    <w:unhideWhenUsed/>
    <w:qFormat/>
    <w:uiPriority w:val="34"/>
    <w:pPr>
      <w:ind w:firstLine="420" w:firstLineChars="200"/>
    </w:pPr>
  </w:style>
  <w:style w:type="character" w:customStyle="1" w:styleId="26">
    <w:name w:val="批注框文本 字符"/>
    <w:basedOn w:val="15"/>
    <w:link w:val="5"/>
    <w:semiHidden/>
    <w:qFormat/>
    <w:uiPriority w:val="99"/>
    <w:rPr>
      <w:rFonts w:ascii="Times New Roman" w:hAnsi="Times New Roman" w:eastAsia="宋体" w:cs="Times New Roman"/>
      <w:kern w:val="2"/>
      <w:sz w:val="18"/>
      <w:szCs w:val="18"/>
    </w:rPr>
  </w:style>
  <w:style w:type="character" w:customStyle="1" w:styleId="27">
    <w:name w:val="批注文字 字符"/>
    <w:basedOn w:val="15"/>
    <w:link w:val="2"/>
    <w:semiHidden/>
    <w:qFormat/>
    <w:uiPriority w:val="99"/>
    <w:rPr>
      <w:rFonts w:ascii="Times New Roman" w:hAnsi="Times New Roman" w:eastAsia="宋体" w:cs="Times New Roman"/>
      <w:kern w:val="2"/>
      <w:sz w:val="21"/>
      <w:szCs w:val="24"/>
    </w:rPr>
  </w:style>
  <w:style w:type="character" w:customStyle="1" w:styleId="28">
    <w:name w:val="批注主题 字符"/>
    <w:basedOn w:val="27"/>
    <w:link w:val="12"/>
    <w:semiHidden/>
    <w:qFormat/>
    <w:uiPriority w:val="99"/>
    <w:rPr>
      <w:rFonts w:ascii="Times New Roman" w:hAnsi="Times New Roman" w:eastAsia="宋体" w:cs="Times New Roman"/>
      <w:b/>
      <w:bCs/>
      <w:kern w:val="2"/>
      <w:sz w:val="21"/>
      <w:szCs w:val="24"/>
    </w:rPr>
  </w:style>
  <w:style w:type="paragraph" w:customStyle="1" w:styleId="29">
    <w:name w:val="005正文"/>
    <w:qFormat/>
    <w:uiPriority w:val="0"/>
    <w:pPr>
      <w:widowControl w:val="0"/>
      <w:spacing w:before="50" w:beforeLines="50" w:line="360" w:lineRule="auto"/>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30">
    <w:name w:val="HTML 预设格式 字符"/>
    <w:basedOn w:val="15"/>
    <w:link w:val="9"/>
    <w:qFormat/>
    <w:uiPriority w:val="99"/>
    <w:rPr>
      <w:rFonts w:ascii="宋体" w:hAnsi="宋体" w:cs="宋体"/>
      <w:sz w:val="24"/>
      <w:szCs w:val="24"/>
    </w:rPr>
  </w:style>
  <w:style w:type="paragraph" w:customStyle="1" w:styleId="31">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32">
    <w:name w:val="markedcontent"/>
    <w:basedOn w:val="15"/>
    <w:qFormat/>
    <w:uiPriority w:val="0"/>
  </w:style>
  <w:style w:type="character" w:customStyle="1" w:styleId="33">
    <w:name w:val="fontstyle01"/>
    <w:basedOn w:val="15"/>
    <w:qFormat/>
    <w:uiPriority w:val="0"/>
    <w:rPr>
      <w:rFonts w:hint="eastAsia" w:ascii="宋体" w:hAnsi="宋体" w:eastAsia="宋体"/>
      <w:color w:val="000000"/>
      <w:sz w:val="24"/>
      <w:szCs w:val="24"/>
    </w:rPr>
  </w:style>
  <w:style w:type="character" w:customStyle="1" w:styleId="34">
    <w:name w:val="未处理的提及1"/>
    <w:basedOn w:val="15"/>
    <w:semiHidden/>
    <w:unhideWhenUsed/>
    <w:qFormat/>
    <w:uiPriority w:val="99"/>
    <w:rPr>
      <w:color w:val="605E5C"/>
      <w:shd w:val="clear" w:color="auto" w:fill="E1DFDD"/>
    </w:rPr>
  </w:style>
  <w:style w:type="paragraph" w:customStyle="1" w:styleId="35">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36">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37">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38">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39">
    <w:name w:val="修订6"/>
    <w:hidden/>
    <w:semiHidden/>
    <w:qFormat/>
    <w:uiPriority w:val="99"/>
    <w:rPr>
      <w:rFonts w:ascii="Times New Roman" w:hAnsi="Times New Roman" w:eastAsia="宋体" w:cs="Times New Roman"/>
      <w:kern w:val="2"/>
      <w:sz w:val="21"/>
      <w:szCs w:val="24"/>
      <w:lang w:val="en-US" w:eastAsia="zh-CN" w:bidi="ar-SA"/>
    </w:rPr>
  </w:style>
  <w:style w:type="paragraph" w:customStyle="1" w:styleId="40">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E75FCF-29F5-4DF9-95E7-3A5E36819668}">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2021</Words>
  <Characters>2166</Characters>
  <Lines>17</Lines>
  <Paragraphs>4</Paragraphs>
  <TotalTime>8</TotalTime>
  <ScaleCrop>false</ScaleCrop>
  <LinksUpToDate>false</LinksUpToDate>
  <CharactersWithSpaces>2294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2026-11-04T05:22:00Z</dcterms:created>
  <dc:creator>凌云光-丁文思</dc:creator>
  <cp:lastModifiedBy>张瑜</cp:lastModifiedBy>
  <cp:lastPrinted>2026-08-03T02:03:00Z</cp:lastPrinted>
  <dcterms:modified xsi:type="dcterms:W3CDTF">2026-11-05T08:45:33Z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335ABDE2D038425AAD9381854EE12F89_13</vt:lpwstr>
  </property>
  <property fmtid="{D5CDD505-2E9C-101B-9397-08002B2CF9AE}" pid="4" name="_DocHome">
    <vt:i4>1310079708</vt:i4>
  </property>
  <property fmtid="{D5CDD505-2E9C-101B-9397-08002B2CF9AE}" pid="5" name="KSOTemplateDocerSaveRecord">
    <vt:lpwstr>eyJoZGlkIjoiZWUwZDJkM2VkY2Y3NWZkODlkNzhiNzAzYWUwZTYyMDciLCJ1c2VySWQiOiIyNjczMDc2NTgifQ==</vt:lpwstr>
  </property>
</Properties>
</file>